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D4" w:rsidRDefault="005A2FD4" w:rsidP="00EF6D32">
      <w:pPr>
        <w:pStyle w:val="Ttulodecubierta"/>
        <w:spacing w:before="0" w:after="0" w:line="480" w:lineRule="auto"/>
        <w:ind w:left="0" w:right="0"/>
      </w:pPr>
      <w:r w:rsidRPr="00740BE6">
        <w:t>centro de investig</w:t>
      </w:r>
      <w:smartTag w:uri="urn:schemas-microsoft-com:office:smarttags" w:element="PersonName">
        <w:r w:rsidRPr="00740BE6">
          <w:t>ac</w:t>
        </w:r>
      </w:smartTag>
      <w:r w:rsidRPr="00740BE6">
        <w:t>iones y referencia</w:t>
      </w:r>
      <w:r w:rsidR="00C84F43" w:rsidRPr="00740BE6">
        <w:t>S</w:t>
      </w:r>
      <w:r w:rsidRPr="00740BE6">
        <w:t xml:space="preserve"> de aterosclerosis de </w:t>
      </w:r>
      <w:smartTag w:uri="urn:schemas-microsoft-com:office:smarttags" w:element="PersonName">
        <w:smartTagPr>
          <w:attr w:name="ProductID" w:val="LA HABANA"/>
        </w:smartTagPr>
        <w:r w:rsidRPr="00740BE6">
          <w:t>la habana</w:t>
        </w:r>
      </w:smartTag>
      <w:r w:rsidR="00C84F43" w:rsidRPr="00740BE6">
        <w:t xml:space="preserve"> (CIRAH)</w:t>
      </w:r>
    </w:p>
    <w:p w:rsidR="00846727" w:rsidRPr="00740BE6" w:rsidRDefault="00846727" w:rsidP="00846727">
      <w:pPr>
        <w:pStyle w:val="Ttulodecubierta"/>
        <w:spacing w:before="0" w:after="0" w:line="480" w:lineRule="auto"/>
        <w:ind w:left="0" w:right="0"/>
      </w:pPr>
      <w:r w:rsidRPr="00740BE6">
        <w:t xml:space="preserve">Universidad de ciencias médicas de </w:t>
      </w:r>
      <w:smartTag w:uri="urn:schemas-microsoft-com:office:smarttags" w:element="PersonName">
        <w:smartTagPr>
          <w:attr w:name="ProductID" w:val="LA HABANA"/>
        </w:smartTagPr>
        <w:r w:rsidRPr="00740BE6">
          <w:t>la habana</w:t>
        </w:r>
      </w:smartTag>
    </w:p>
    <w:p w:rsidR="00C42443" w:rsidRPr="00740BE6" w:rsidRDefault="00F27155" w:rsidP="00EF6D32">
      <w:pPr>
        <w:pStyle w:val="Subttulodecubierta"/>
        <w:tabs>
          <w:tab w:val="clear" w:pos="8640"/>
          <w:tab w:val="right" w:pos="8510"/>
        </w:tabs>
        <w:spacing w:after="0" w:line="480" w:lineRule="auto"/>
        <w:ind w:left="0" w:right="0"/>
      </w:pPr>
      <w:r>
        <w:t>Centro de Investigaciones Médico-Quirúrgicos(CIMEQ)</w:t>
      </w:r>
    </w:p>
    <w:p w:rsidR="00E34C6D" w:rsidRPr="00740BE6" w:rsidRDefault="001E27B0" w:rsidP="00EF6D32">
      <w:pPr>
        <w:pStyle w:val="Ttulodecubierta"/>
        <w:spacing w:line="480" w:lineRule="auto"/>
        <w:ind w:left="0" w:right="77"/>
        <w:rPr>
          <w:b/>
          <w:sz w:val="28"/>
          <w:szCs w:val="28"/>
        </w:rPr>
      </w:pPr>
      <w:r>
        <w:rPr>
          <w:b/>
          <w:sz w:val="28"/>
          <w:szCs w:val="28"/>
        </w:rPr>
        <w:t xml:space="preserve">la </w:t>
      </w:r>
      <w:r w:rsidR="00F27155">
        <w:rPr>
          <w:b/>
          <w:sz w:val="28"/>
          <w:szCs w:val="28"/>
        </w:rPr>
        <w:t>GAMMAGRAFÍA DE PERFUSIÓN MIOCÁRDICA EN LA CARDIOPATÍA ISQU</w:t>
      </w:r>
      <w:r w:rsidR="00170E0B">
        <w:rPr>
          <w:b/>
          <w:sz w:val="28"/>
          <w:szCs w:val="28"/>
        </w:rPr>
        <w:t>ÉMICA</w:t>
      </w:r>
    </w:p>
    <w:p w:rsidR="00C42443" w:rsidRPr="00740BE6" w:rsidRDefault="00C42443" w:rsidP="00EF6D32">
      <w:pPr>
        <w:pStyle w:val="Subttulodecubierta"/>
        <w:spacing w:line="480" w:lineRule="auto"/>
        <w:rPr>
          <w:rFonts w:eastAsia="Times New Roman"/>
          <w:spacing w:val="0"/>
          <w:lang w:eastAsia="es-ES"/>
        </w:rPr>
      </w:pPr>
    </w:p>
    <w:p w:rsidR="00C42443" w:rsidRPr="00740BE6" w:rsidRDefault="00C42443" w:rsidP="00CC2819">
      <w:pPr>
        <w:pStyle w:val="Subttulodecubierta"/>
        <w:spacing w:line="480" w:lineRule="auto"/>
        <w:ind w:left="426" w:right="77"/>
        <w:jc w:val="left"/>
      </w:pPr>
      <w:r w:rsidRPr="00740BE6">
        <w:rPr>
          <w:rFonts w:eastAsia="Times New Roman"/>
          <w:spacing w:val="0"/>
          <w:lang w:eastAsia="es-ES"/>
        </w:rPr>
        <w:t xml:space="preserve">Tesis presentada en opción al </w:t>
      </w:r>
      <w:r w:rsidR="00170E0B" w:rsidRPr="00740BE6">
        <w:rPr>
          <w:rFonts w:eastAsia="Times New Roman"/>
          <w:spacing w:val="0"/>
          <w:lang w:eastAsia="es-ES"/>
        </w:rPr>
        <w:t>Título</w:t>
      </w:r>
      <w:r w:rsidR="00170E0B">
        <w:rPr>
          <w:rFonts w:eastAsia="Times New Roman"/>
          <w:spacing w:val="0"/>
          <w:lang w:eastAsia="es-ES"/>
        </w:rPr>
        <w:t xml:space="preserve"> </w:t>
      </w:r>
      <w:r w:rsidR="008F7B22">
        <w:rPr>
          <w:rFonts w:eastAsia="Times New Roman"/>
          <w:spacing w:val="0"/>
          <w:lang w:eastAsia="es-ES"/>
        </w:rPr>
        <w:t>Científico</w:t>
      </w:r>
      <w:r w:rsidR="00CC2819">
        <w:t xml:space="preserve"> de </w:t>
      </w:r>
      <w:r w:rsidR="00170E0B">
        <w:t>Máster en Investigación en Aterosclerosis.</w:t>
      </w:r>
    </w:p>
    <w:p w:rsidR="005C626E" w:rsidRPr="00740BE6" w:rsidRDefault="005C626E" w:rsidP="00EF6D32">
      <w:pPr>
        <w:pStyle w:val="Textoindependiente"/>
        <w:spacing w:line="480" w:lineRule="auto"/>
      </w:pPr>
    </w:p>
    <w:p w:rsidR="00353A4F" w:rsidRPr="00740BE6" w:rsidRDefault="0085474A" w:rsidP="00EF6D32">
      <w:pPr>
        <w:pStyle w:val="Textoindependiente"/>
        <w:spacing w:line="480" w:lineRule="auto"/>
        <w:jc w:val="center"/>
      </w:pPr>
      <w:r>
        <w:t xml:space="preserve">Sonia María Sánchez </w:t>
      </w:r>
      <w:proofErr w:type="spellStart"/>
      <w:r>
        <w:t>Valcarcel</w:t>
      </w:r>
      <w:proofErr w:type="spellEnd"/>
      <w:r>
        <w:t>.</w:t>
      </w:r>
    </w:p>
    <w:p w:rsidR="001F030E" w:rsidRPr="00740BE6" w:rsidRDefault="001F030E" w:rsidP="00EF6D32">
      <w:pPr>
        <w:pStyle w:val="Textoindependiente"/>
        <w:spacing w:after="0" w:line="480" w:lineRule="auto"/>
        <w:jc w:val="center"/>
      </w:pPr>
    </w:p>
    <w:p w:rsidR="001F030E" w:rsidRPr="00740BE6" w:rsidRDefault="001F030E" w:rsidP="00EF6D32">
      <w:pPr>
        <w:pStyle w:val="Textoindependiente"/>
        <w:spacing w:after="0" w:line="480" w:lineRule="auto"/>
        <w:jc w:val="center"/>
      </w:pPr>
    </w:p>
    <w:p w:rsidR="001D56EB" w:rsidRPr="00740BE6" w:rsidRDefault="001F030E" w:rsidP="00EF6D32">
      <w:pPr>
        <w:pStyle w:val="Textoindependiente"/>
        <w:spacing w:after="0" w:line="480" w:lineRule="auto"/>
        <w:jc w:val="center"/>
      </w:pPr>
      <w:smartTag w:uri="urn:schemas-microsoft-com:office:smarttags" w:element="PersonName">
        <w:smartTagPr>
          <w:attr w:name="ProductID" w:val="LA HABANA"/>
        </w:smartTagPr>
        <w:r w:rsidRPr="00740BE6">
          <w:t>La Habana</w:t>
        </w:r>
      </w:smartTag>
    </w:p>
    <w:p w:rsidR="00B00A3C" w:rsidRPr="00740BE6" w:rsidRDefault="0085474A" w:rsidP="00EF6D32">
      <w:pPr>
        <w:pStyle w:val="Fecha"/>
        <w:spacing w:line="480" w:lineRule="auto"/>
      </w:pPr>
      <w:r>
        <w:t>2020</w:t>
      </w:r>
    </w:p>
    <w:p w:rsidR="00A82E57" w:rsidRDefault="00A82E57" w:rsidP="00A82E57">
      <w:pPr>
        <w:pStyle w:val="Ttulodecubierta"/>
        <w:spacing w:before="0" w:after="0" w:line="480" w:lineRule="auto"/>
        <w:ind w:left="0" w:right="0"/>
      </w:pPr>
      <w:r w:rsidRPr="00740BE6">
        <w:lastRenderedPageBreak/>
        <w:t>centro de investig</w:t>
      </w:r>
      <w:smartTag w:uri="urn:schemas-microsoft-com:office:smarttags" w:element="PersonName">
        <w:r w:rsidRPr="00740BE6">
          <w:t>ac</w:t>
        </w:r>
      </w:smartTag>
      <w:r w:rsidRPr="00740BE6">
        <w:t xml:space="preserve">iones y referenciaS de aterosclerosis de </w:t>
      </w:r>
      <w:smartTag w:uri="urn:schemas-microsoft-com:office:smarttags" w:element="PersonName">
        <w:smartTagPr>
          <w:attr w:name="ProductID" w:val="LA HABANA"/>
        </w:smartTagPr>
        <w:r w:rsidRPr="00740BE6">
          <w:t>la habana</w:t>
        </w:r>
      </w:smartTag>
      <w:r w:rsidRPr="00740BE6">
        <w:t xml:space="preserve"> (CIRAH)</w:t>
      </w:r>
    </w:p>
    <w:p w:rsidR="00A82E57" w:rsidRPr="00740BE6" w:rsidRDefault="00A82E57" w:rsidP="00A82E57">
      <w:pPr>
        <w:pStyle w:val="Ttulodecubierta"/>
        <w:spacing w:before="0" w:after="0" w:line="480" w:lineRule="auto"/>
        <w:ind w:left="0" w:right="0"/>
      </w:pPr>
      <w:r w:rsidRPr="00740BE6">
        <w:t xml:space="preserve">Universidad de ciencias médicas de </w:t>
      </w:r>
      <w:smartTag w:uri="urn:schemas-microsoft-com:office:smarttags" w:element="PersonName">
        <w:smartTagPr>
          <w:attr w:name="ProductID" w:val="LA HABANA"/>
        </w:smartTagPr>
        <w:r w:rsidRPr="00740BE6">
          <w:t>la habana</w:t>
        </w:r>
      </w:smartTag>
    </w:p>
    <w:p w:rsidR="005C626E" w:rsidRPr="00740BE6" w:rsidRDefault="0085474A" w:rsidP="00EF6D32">
      <w:pPr>
        <w:pStyle w:val="Subttulodecubierta"/>
        <w:tabs>
          <w:tab w:val="clear" w:pos="8640"/>
          <w:tab w:val="right" w:pos="8510"/>
        </w:tabs>
        <w:spacing w:after="0" w:line="480" w:lineRule="auto"/>
        <w:ind w:left="0" w:right="0"/>
      </w:pPr>
      <w:r>
        <w:t>Centro de Investigaciones Médico-Quirúrgicas(CIMEQ)</w:t>
      </w:r>
    </w:p>
    <w:p w:rsidR="005C626E" w:rsidRPr="00740BE6" w:rsidRDefault="001E27B0" w:rsidP="00672DD6">
      <w:pPr>
        <w:pStyle w:val="Ttulodecubierta"/>
        <w:spacing w:line="480" w:lineRule="auto"/>
        <w:ind w:left="0" w:right="77"/>
        <w:rPr>
          <w:b/>
          <w:sz w:val="28"/>
          <w:szCs w:val="28"/>
        </w:rPr>
      </w:pPr>
      <w:r>
        <w:rPr>
          <w:b/>
          <w:sz w:val="28"/>
          <w:szCs w:val="28"/>
        </w:rPr>
        <w:t xml:space="preserve">la </w:t>
      </w:r>
      <w:r w:rsidR="008F7B22">
        <w:rPr>
          <w:b/>
          <w:sz w:val="28"/>
          <w:szCs w:val="28"/>
        </w:rPr>
        <w:t>GAMMAGRAFÍA DE PERFUSIÓN MIOCÁRDICA EN LA CARDIOPATÍA ISQUÉMICA</w:t>
      </w:r>
    </w:p>
    <w:p w:rsidR="00192B33" w:rsidRPr="00740BE6" w:rsidRDefault="00192B33" w:rsidP="00EF6D32">
      <w:pPr>
        <w:pStyle w:val="Subttulodecubierta"/>
        <w:spacing w:line="480" w:lineRule="auto"/>
      </w:pPr>
    </w:p>
    <w:p w:rsidR="00CC2819" w:rsidRPr="00740BE6" w:rsidRDefault="00CC2819" w:rsidP="00CC2819">
      <w:pPr>
        <w:pStyle w:val="Subttulodecubierta"/>
        <w:spacing w:line="480" w:lineRule="auto"/>
        <w:ind w:left="426" w:right="77"/>
        <w:jc w:val="left"/>
      </w:pPr>
      <w:r w:rsidRPr="00740BE6">
        <w:rPr>
          <w:rFonts w:eastAsia="Times New Roman"/>
          <w:spacing w:val="0"/>
          <w:lang w:eastAsia="es-ES"/>
        </w:rPr>
        <w:t xml:space="preserve">Tesis presentada en opción al </w:t>
      </w:r>
      <w:r w:rsidR="008F7B22" w:rsidRPr="00740BE6">
        <w:rPr>
          <w:rFonts w:eastAsia="Times New Roman"/>
          <w:spacing w:val="0"/>
          <w:lang w:eastAsia="es-ES"/>
        </w:rPr>
        <w:t>Título</w:t>
      </w:r>
      <w:r w:rsidR="008F7B22">
        <w:rPr>
          <w:rFonts w:eastAsia="Times New Roman"/>
          <w:spacing w:val="0"/>
          <w:lang w:eastAsia="es-ES"/>
        </w:rPr>
        <w:t xml:space="preserve"> Científi</w:t>
      </w:r>
      <w:r w:rsidR="008F7B22" w:rsidRPr="00740BE6">
        <w:rPr>
          <w:rFonts w:eastAsia="Times New Roman"/>
          <w:spacing w:val="0"/>
          <w:lang w:eastAsia="es-ES"/>
        </w:rPr>
        <w:t>co</w:t>
      </w:r>
      <w:r>
        <w:t xml:space="preserve"> de </w:t>
      </w:r>
      <w:r w:rsidR="008F7B22">
        <w:t>Máster en Investigación en Aterosclerosis.</w:t>
      </w:r>
    </w:p>
    <w:p w:rsidR="008F7B22" w:rsidRPr="00740BE6" w:rsidRDefault="005C626E" w:rsidP="008F7B22">
      <w:pPr>
        <w:pStyle w:val="Textoindependiente"/>
        <w:spacing w:line="480" w:lineRule="auto"/>
        <w:jc w:val="center"/>
      </w:pPr>
      <w:r w:rsidRPr="00740BE6">
        <w:t xml:space="preserve">Autor: </w:t>
      </w:r>
      <w:r w:rsidR="008F7B22">
        <w:t xml:space="preserve">Sonia María Sánchez </w:t>
      </w:r>
      <w:proofErr w:type="spellStart"/>
      <w:r w:rsidR="008F7B22">
        <w:t>Valcarcel</w:t>
      </w:r>
      <w:proofErr w:type="spellEnd"/>
      <w:r w:rsidR="008F7B22">
        <w:t>.</w:t>
      </w:r>
    </w:p>
    <w:p w:rsidR="005C626E" w:rsidRPr="00740BE6" w:rsidRDefault="005C626E" w:rsidP="00EF6D32">
      <w:pPr>
        <w:pStyle w:val="Textoindependiente"/>
        <w:spacing w:line="480" w:lineRule="auto"/>
      </w:pPr>
    </w:p>
    <w:p w:rsidR="005C626E" w:rsidRPr="00740BE6" w:rsidRDefault="005C626E" w:rsidP="00EF6D32">
      <w:pPr>
        <w:pStyle w:val="Textoindependiente"/>
        <w:spacing w:line="480" w:lineRule="auto"/>
      </w:pPr>
      <w:r w:rsidRPr="00740BE6">
        <w:t xml:space="preserve">Tutor: </w:t>
      </w:r>
      <w:r w:rsidR="008F7B22">
        <w:t>Ms C.</w:t>
      </w:r>
      <w:r w:rsidR="000F133E">
        <w:t xml:space="preserve"> </w:t>
      </w:r>
      <w:r w:rsidR="008F7B22">
        <w:t xml:space="preserve">Katia Ravelo </w:t>
      </w:r>
      <w:proofErr w:type="spellStart"/>
      <w:r w:rsidR="008F7B22">
        <w:t>Llanes</w:t>
      </w:r>
      <w:proofErr w:type="spellEnd"/>
      <w:r w:rsidRPr="00740BE6">
        <w:t xml:space="preserve">, </w:t>
      </w:r>
      <w:r w:rsidR="008F7B22" w:rsidRPr="008F7B22">
        <w:t>Especi</w:t>
      </w:r>
      <w:r w:rsidR="008F7B22">
        <w:t>alista 1er Grado en Cardiología</w:t>
      </w:r>
      <w:r w:rsidRPr="008F7B22">
        <w:t>,</w:t>
      </w:r>
      <w:r w:rsidRPr="00740BE6">
        <w:t xml:space="preserve"> </w:t>
      </w:r>
      <w:r w:rsidR="008F7B22" w:rsidRPr="008F7B22">
        <w:t>Profesora Asistente</w:t>
      </w:r>
      <w:r w:rsidRPr="008F7B22">
        <w:t>,</w:t>
      </w:r>
      <w:r w:rsidRPr="00740BE6">
        <w:t xml:space="preserve"> </w:t>
      </w:r>
      <w:r w:rsidR="008F7B22" w:rsidRPr="008F7B22">
        <w:t>Máster en Aterosclerosis</w:t>
      </w:r>
      <w:r w:rsidR="008F7B22">
        <w:t>.</w:t>
      </w:r>
    </w:p>
    <w:p w:rsidR="005C626E" w:rsidRPr="00740BE6" w:rsidRDefault="005C626E" w:rsidP="008F7B22">
      <w:pPr>
        <w:pStyle w:val="Textoindependiente"/>
        <w:spacing w:line="480" w:lineRule="auto"/>
      </w:pPr>
      <w:r w:rsidRPr="00740BE6">
        <w:t xml:space="preserve">Asesor: </w:t>
      </w:r>
      <w:r w:rsidR="008008EA">
        <w:t xml:space="preserve">Ms C. </w:t>
      </w:r>
      <w:r w:rsidR="00001EEA" w:rsidRPr="008F7B22">
        <w:t xml:space="preserve"> </w:t>
      </w:r>
      <w:r w:rsidR="008A0633">
        <w:t>Iván Rodríguez Cortina</w:t>
      </w:r>
      <w:r w:rsidR="00001EEA" w:rsidRPr="008F7B22">
        <w:t>,</w:t>
      </w:r>
      <w:r w:rsidR="008A0633">
        <w:t xml:space="preserve"> Especialista 1</w:t>
      </w:r>
      <w:r w:rsidR="008F7B22">
        <w:t>er grado Medicina Interna</w:t>
      </w:r>
      <w:r w:rsidR="00001EEA" w:rsidRPr="00740BE6">
        <w:t xml:space="preserve">, </w:t>
      </w:r>
      <w:r w:rsidR="008A0633">
        <w:t>Profesor Auxiliar</w:t>
      </w:r>
      <w:r w:rsidR="00001EEA" w:rsidRPr="00740BE6">
        <w:t xml:space="preserve">, </w:t>
      </w:r>
      <w:r w:rsidR="00B4715D">
        <w:t>Investigador Auxiliar.</w:t>
      </w:r>
    </w:p>
    <w:p w:rsidR="005C626E" w:rsidRPr="00740BE6" w:rsidRDefault="005C626E" w:rsidP="00EF6D32">
      <w:pPr>
        <w:pStyle w:val="Textoindependiente"/>
        <w:spacing w:after="0" w:line="480" w:lineRule="auto"/>
        <w:jc w:val="center"/>
      </w:pPr>
    </w:p>
    <w:p w:rsidR="005C626E" w:rsidRPr="00740BE6" w:rsidRDefault="005C626E" w:rsidP="00EF6D32">
      <w:pPr>
        <w:pStyle w:val="Textoindependiente"/>
        <w:spacing w:after="0" w:line="480" w:lineRule="auto"/>
        <w:jc w:val="center"/>
      </w:pPr>
      <w:smartTag w:uri="urn:schemas-microsoft-com:office:smarttags" w:element="PersonName">
        <w:smartTagPr>
          <w:attr w:name="ProductID" w:val="LA HABANA"/>
        </w:smartTagPr>
        <w:r w:rsidRPr="00740BE6">
          <w:t>La Habana</w:t>
        </w:r>
      </w:smartTag>
    </w:p>
    <w:p w:rsidR="005C626E" w:rsidRPr="00740BE6" w:rsidRDefault="00672DD6" w:rsidP="00EF6D32">
      <w:pPr>
        <w:pStyle w:val="Fecha"/>
        <w:spacing w:after="360" w:line="480" w:lineRule="auto"/>
      </w:pPr>
      <w:r>
        <w:t>2020</w:t>
      </w:r>
    </w:p>
    <w:p w:rsidR="00B00A3C" w:rsidRPr="00740BE6" w:rsidRDefault="00B00A3C" w:rsidP="00EF6D32">
      <w:pPr>
        <w:pStyle w:val="Etiquetadeseccin"/>
        <w:spacing w:line="480" w:lineRule="auto"/>
        <w:rPr>
          <w:b/>
        </w:rPr>
      </w:pPr>
      <w:r w:rsidRPr="00740BE6">
        <w:rPr>
          <w:b/>
        </w:rPr>
        <w:lastRenderedPageBreak/>
        <w:t>Agrade</w:t>
      </w:r>
      <w:r w:rsidR="00833EDA">
        <w:rPr>
          <w:b/>
        </w:rPr>
        <w:t>cimientos</w:t>
      </w:r>
    </w:p>
    <w:p w:rsidR="00AE1EA0" w:rsidRDefault="00AE1EA0" w:rsidP="00AE1EA0">
      <w:pPr>
        <w:spacing w:line="480" w:lineRule="auto"/>
      </w:pPr>
      <w:r w:rsidRPr="00DC1B25">
        <w:t>El autor le desea agradecer en primer lugar a mi tutora, la Dr</w:t>
      </w:r>
      <w:r w:rsidR="00AD5255">
        <w:t xml:space="preserve">a. Katia Ravelo </w:t>
      </w:r>
      <w:proofErr w:type="spellStart"/>
      <w:r w:rsidR="00AD5255">
        <w:t>Llanes</w:t>
      </w:r>
      <w:proofErr w:type="spellEnd"/>
      <w:r w:rsidR="00AD5255">
        <w:t xml:space="preserve"> y </w:t>
      </w:r>
      <w:r w:rsidR="00AD5255" w:rsidRPr="00DC1B25">
        <w:t>mi asesor, el Dr. Iván Rodríg</w:t>
      </w:r>
      <w:r w:rsidR="00AD5255">
        <w:t>uez Cortina</w:t>
      </w:r>
      <w:r w:rsidR="00786356">
        <w:t>,</w:t>
      </w:r>
      <w:r w:rsidR="00AD5255">
        <w:t xml:space="preserve"> </w:t>
      </w:r>
      <w:r>
        <w:t>quien</w:t>
      </w:r>
      <w:r w:rsidR="00AD5255">
        <w:t>es me inculcar</w:t>
      </w:r>
      <w:r>
        <w:t>o</w:t>
      </w:r>
      <w:r w:rsidR="00AD5255">
        <w:t>n</w:t>
      </w:r>
      <w:r w:rsidRPr="00DC1B25">
        <w:t xml:space="preserve"> sus conocimientos</w:t>
      </w:r>
      <w:r w:rsidR="00F53BCA">
        <w:t xml:space="preserve"> y</w:t>
      </w:r>
      <w:r w:rsidRPr="00DC1B25">
        <w:t xml:space="preserve"> amor hacia la cardiología</w:t>
      </w:r>
      <w:r>
        <w:t xml:space="preserve"> y la investigación científica</w:t>
      </w:r>
      <w:r w:rsidRPr="00DC1B25">
        <w:t>.</w:t>
      </w:r>
    </w:p>
    <w:p w:rsidR="002706E2" w:rsidRDefault="00AE1EA0" w:rsidP="00AE1EA0">
      <w:pPr>
        <w:spacing w:line="480" w:lineRule="auto"/>
      </w:pPr>
      <w:r>
        <w:t xml:space="preserve">A mis </w:t>
      </w:r>
      <w:r w:rsidR="002706E2">
        <w:t>magníficos</w:t>
      </w:r>
      <w:r>
        <w:t xml:space="preserve"> profesores </w:t>
      </w:r>
      <w:r w:rsidR="00833EDA">
        <w:t xml:space="preserve">de la </w:t>
      </w:r>
      <w:r w:rsidR="002706E2">
        <w:t>maestría</w:t>
      </w:r>
      <w:r w:rsidR="00833EDA">
        <w:t>,</w:t>
      </w:r>
      <w:r w:rsidR="00AD5255">
        <w:t xml:space="preserve"> grandes doctores y </w:t>
      </w:r>
      <w:r w:rsidR="002706E2">
        <w:t>científicos,</w:t>
      </w:r>
      <w:r w:rsidR="00AD5255">
        <w:t xml:space="preserve"> </w:t>
      </w:r>
      <w:r w:rsidR="006C1E55">
        <w:t>que con esmero nos enseñan una nueva visión</w:t>
      </w:r>
      <w:r w:rsidR="002706E2">
        <w:t xml:space="preserve"> de la ciencia, la medicina y la sociedad.</w:t>
      </w:r>
      <w:r w:rsidR="00786356">
        <w:t xml:space="preserve"> Además de transformarnos en profesionales con un nivel superior de conocimientos y educación en el universo de la </w:t>
      </w:r>
      <w:r w:rsidR="006C1E55">
        <w:t>investigación</w:t>
      </w:r>
      <w:r w:rsidR="001668CE">
        <w:t>.</w:t>
      </w:r>
      <w:r w:rsidR="002706E2">
        <w:t xml:space="preserve">  </w:t>
      </w:r>
    </w:p>
    <w:p w:rsidR="00AE1EA0" w:rsidRPr="00DC1B25" w:rsidRDefault="002706E2" w:rsidP="00AE1EA0">
      <w:pPr>
        <w:spacing w:line="480" w:lineRule="auto"/>
      </w:pPr>
      <w:r>
        <w:t>A</w:t>
      </w:r>
      <w:r w:rsidR="00AD5255">
        <w:t xml:space="preserve"> mis compañeros de maestría, en especial los doctores</w:t>
      </w:r>
      <w:r w:rsidR="00AE1EA0" w:rsidRPr="00DC1B25">
        <w:t xml:space="preserve"> Oscar Antonio Alfonso Mo</w:t>
      </w:r>
      <w:r w:rsidR="00AD5255">
        <w:t xml:space="preserve">ntero </w:t>
      </w:r>
      <w:r>
        <w:t>y Adrián</w:t>
      </w:r>
      <w:r w:rsidR="00AE1EA0">
        <w:t xml:space="preserve"> Naranjo Domín</w:t>
      </w:r>
      <w:r w:rsidR="00AD5255">
        <w:t>guez</w:t>
      </w:r>
      <w:r w:rsidR="00AE1EA0">
        <w:t>.</w:t>
      </w:r>
    </w:p>
    <w:p w:rsidR="00AE1EA0" w:rsidRPr="00DC1B25" w:rsidRDefault="00AD5255" w:rsidP="00AE1EA0">
      <w:pPr>
        <w:spacing w:line="480" w:lineRule="auto"/>
      </w:pPr>
      <w:r>
        <w:t xml:space="preserve">Al colectivo de trabajadores del </w:t>
      </w:r>
      <w:proofErr w:type="spellStart"/>
      <w:r>
        <w:t>Cardiocentro</w:t>
      </w:r>
      <w:proofErr w:type="spellEnd"/>
      <w:r>
        <w:t xml:space="preserve"> CIMEQ. </w:t>
      </w:r>
    </w:p>
    <w:p w:rsidR="00AE1EA0" w:rsidRPr="00DC1B25" w:rsidRDefault="00AE1EA0" w:rsidP="00AE1EA0">
      <w:pPr>
        <w:spacing w:line="480" w:lineRule="auto"/>
      </w:pPr>
      <w:r w:rsidRPr="00DC1B25">
        <w:t>Y p</w:t>
      </w:r>
      <w:r>
        <w:t>or último y no menos importante</w:t>
      </w:r>
      <w:r w:rsidR="000F20B6">
        <w:t xml:space="preserve"> a mi familia,</w:t>
      </w:r>
      <w:r w:rsidR="002706E2">
        <w:t xml:space="preserve"> gracias a</w:t>
      </w:r>
      <w:r w:rsidR="006C1E55">
        <w:t xml:space="preserve"> su amor, presencia, </w:t>
      </w:r>
      <w:r w:rsidRPr="00DC1B25">
        <w:t>consagra</w:t>
      </w:r>
      <w:r>
        <w:t>ción en mi vida y profesión hicieron posibles estos resultados</w:t>
      </w:r>
      <w:r w:rsidRPr="00DC1B25">
        <w:t>.</w:t>
      </w:r>
    </w:p>
    <w:p w:rsidR="002734D0" w:rsidRPr="00740BE6" w:rsidRDefault="00333AF6" w:rsidP="005230DB">
      <w:pPr>
        <w:spacing w:line="480" w:lineRule="auto"/>
      </w:pPr>
      <w:r w:rsidRPr="00740BE6">
        <w:t>.</w:t>
      </w:r>
    </w:p>
    <w:p w:rsidR="00333AF6" w:rsidRPr="00740BE6" w:rsidRDefault="00333AF6" w:rsidP="005230DB">
      <w:pPr>
        <w:spacing w:line="480" w:lineRule="auto"/>
      </w:pPr>
    </w:p>
    <w:p w:rsidR="002734D0" w:rsidRPr="00740BE6" w:rsidRDefault="002734D0" w:rsidP="005230DB">
      <w:pPr>
        <w:spacing w:line="480" w:lineRule="auto"/>
        <w:sectPr w:rsidR="002734D0" w:rsidRPr="00740BE6" w:rsidSect="00445A00">
          <w:pgSz w:w="11907" w:h="16839" w:code="9"/>
          <w:pgMar w:top="1701" w:right="1701" w:bottom="1418" w:left="1985" w:header="1440" w:footer="1440" w:gutter="0"/>
          <w:pgNumType w:fmt="lowerRoman" w:start="1"/>
          <w:cols w:space="720"/>
          <w:docGrid w:linePitch="254"/>
        </w:sectPr>
      </w:pPr>
    </w:p>
    <w:p w:rsidR="00B00A3C" w:rsidRPr="00740BE6" w:rsidRDefault="00B00A3C" w:rsidP="00EF6D32">
      <w:pPr>
        <w:pStyle w:val="Etiquetadeseccin"/>
        <w:spacing w:line="480" w:lineRule="auto"/>
        <w:rPr>
          <w:b/>
        </w:rPr>
      </w:pPr>
      <w:r w:rsidRPr="00740BE6">
        <w:rPr>
          <w:b/>
        </w:rPr>
        <w:lastRenderedPageBreak/>
        <w:t>dedicatoria</w:t>
      </w:r>
    </w:p>
    <w:p w:rsidR="000D2BAF" w:rsidRDefault="000D2BAF" w:rsidP="000D2BAF">
      <w:pPr>
        <w:spacing w:line="480" w:lineRule="auto"/>
        <w:jc w:val="right"/>
        <w:rPr>
          <w:rFonts w:ascii="Bradley Hand ITC" w:hAnsi="Bradley Hand ITC"/>
          <w:b/>
          <w:sz w:val="44"/>
          <w:szCs w:val="44"/>
        </w:rPr>
      </w:pPr>
    </w:p>
    <w:p w:rsidR="000D2BAF" w:rsidRDefault="000D2BAF" w:rsidP="000D2BAF">
      <w:pPr>
        <w:spacing w:line="480" w:lineRule="auto"/>
        <w:jc w:val="right"/>
        <w:rPr>
          <w:rFonts w:ascii="Bradley Hand ITC" w:hAnsi="Bradley Hand ITC"/>
          <w:b/>
          <w:sz w:val="44"/>
          <w:szCs w:val="44"/>
        </w:rPr>
      </w:pPr>
    </w:p>
    <w:p w:rsidR="000D2BAF" w:rsidRDefault="000D2BAF" w:rsidP="000D2BAF">
      <w:pPr>
        <w:spacing w:line="480" w:lineRule="auto"/>
        <w:jc w:val="right"/>
        <w:rPr>
          <w:rFonts w:ascii="Bradley Hand ITC" w:hAnsi="Bradley Hand ITC"/>
          <w:b/>
          <w:sz w:val="44"/>
          <w:szCs w:val="44"/>
        </w:rPr>
      </w:pPr>
    </w:p>
    <w:p w:rsidR="000D2BAF" w:rsidRDefault="000D2BAF" w:rsidP="000D2BAF">
      <w:pPr>
        <w:spacing w:line="480" w:lineRule="auto"/>
        <w:jc w:val="right"/>
        <w:rPr>
          <w:rFonts w:ascii="Bradley Hand ITC" w:hAnsi="Bradley Hand ITC"/>
          <w:b/>
          <w:sz w:val="44"/>
          <w:szCs w:val="44"/>
        </w:rPr>
      </w:pPr>
    </w:p>
    <w:p w:rsidR="000D2BAF" w:rsidRDefault="000D2BAF" w:rsidP="000D2BAF">
      <w:pPr>
        <w:spacing w:line="480" w:lineRule="auto"/>
        <w:jc w:val="right"/>
        <w:rPr>
          <w:rFonts w:ascii="Bradley Hand ITC" w:hAnsi="Bradley Hand ITC"/>
          <w:b/>
          <w:sz w:val="44"/>
          <w:szCs w:val="44"/>
        </w:rPr>
      </w:pPr>
    </w:p>
    <w:p w:rsidR="000D2BAF" w:rsidRDefault="000D2BAF" w:rsidP="000D2BAF">
      <w:pPr>
        <w:spacing w:line="480" w:lineRule="auto"/>
        <w:jc w:val="right"/>
        <w:rPr>
          <w:rFonts w:ascii="Bradley Hand ITC" w:hAnsi="Bradley Hand ITC"/>
          <w:b/>
          <w:sz w:val="44"/>
          <w:szCs w:val="44"/>
        </w:rPr>
      </w:pPr>
    </w:p>
    <w:p w:rsidR="00B00A3C" w:rsidRPr="000D2BAF" w:rsidRDefault="000D2BAF" w:rsidP="000D2BAF">
      <w:pPr>
        <w:spacing w:line="480" w:lineRule="auto"/>
        <w:jc w:val="right"/>
        <w:rPr>
          <w:rFonts w:ascii="Bradley Hand ITC" w:hAnsi="Bradley Hand ITC"/>
          <w:b/>
          <w:sz w:val="44"/>
          <w:szCs w:val="44"/>
        </w:rPr>
      </w:pPr>
      <w:r w:rsidRPr="000D2BAF">
        <w:rPr>
          <w:rFonts w:ascii="Bradley Hand ITC" w:hAnsi="Bradley Hand ITC"/>
          <w:b/>
          <w:sz w:val="44"/>
          <w:szCs w:val="44"/>
        </w:rPr>
        <w:t>A mi familia</w:t>
      </w:r>
      <w:r w:rsidR="00333AF6" w:rsidRPr="000D2BAF">
        <w:rPr>
          <w:rFonts w:ascii="Bradley Hand ITC" w:hAnsi="Bradley Hand ITC"/>
          <w:b/>
          <w:sz w:val="44"/>
          <w:szCs w:val="44"/>
        </w:rPr>
        <w:t>.</w:t>
      </w:r>
    </w:p>
    <w:p w:rsidR="00333AF6" w:rsidRPr="00740BE6" w:rsidRDefault="00333AF6" w:rsidP="005230DB">
      <w:pPr>
        <w:spacing w:line="480" w:lineRule="auto"/>
        <w:sectPr w:rsidR="00333AF6" w:rsidRPr="00740BE6" w:rsidSect="00445A00">
          <w:pgSz w:w="11907" w:h="16839" w:code="9"/>
          <w:pgMar w:top="1701" w:right="1701" w:bottom="1418" w:left="1985" w:header="1440" w:footer="1440" w:gutter="0"/>
          <w:pgNumType w:fmt="lowerRoman" w:start="1"/>
          <w:cols w:space="720"/>
          <w:docGrid w:linePitch="254"/>
        </w:sectPr>
      </w:pPr>
    </w:p>
    <w:p w:rsidR="00E96845" w:rsidRPr="00740BE6" w:rsidRDefault="00E96845" w:rsidP="00EF6D32">
      <w:pPr>
        <w:pStyle w:val="Etiquetadeseccin"/>
        <w:spacing w:line="480" w:lineRule="auto"/>
        <w:rPr>
          <w:b/>
        </w:rPr>
      </w:pPr>
      <w:r w:rsidRPr="00740BE6">
        <w:rPr>
          <w:b/>
        </w:rPr>
        <w:lastRenderedPageBreak/>
        <w:t>resumen</w:t>
      </w:r>
      <w:r w:rsidR="00B7502D">
        <w:rPr>
          <w:b/>
        </w:rPr>
        <w:t xml:space="preserve"> O SÍNTESIS</w:t>
      </w:r>
    </w:p>
    <w:p w:rsidR="003D77F9" w:rsidRPr="006C1E55" w:rsidRDefault="00082281" w:rsidP="003D77F9">
      <w:pPr>
        <w:spacing w:line="480" w:lineRule="auto"/>
      </w:pPr>
      <w:r w:rsidRPr="00740BE6">
        <w:rPr>
          <w:b/>
          <w:bCs/>
        </w:rPr>
        <w:t>Introducción</w:t>
      </w:r>
      <w:r w:rsidRPr="00740BE6">
        <w:t xml:space="preserve">: </w:t>
      </w:r>
      <w:r w:rsidR="00FB3501">
        <w:t>La cardiopatía isquémica presenta una gran prevalencia y mortalidad en Cuba y en algunos países desarrollados. La gammagrafía de perfusión miocárdica es un método diagnóstico no invasivo que facilita su diagnóstico y guía en la toma de decisiones médicas</w:t>
      </w:r>
      <w:r w:rsidRPr="00740BE6">
        <w:t xml:space="preserve">. </w:t>
      </w:r>
      <w:r w:rsidRPr="00740BE6">
        <w:rPr>
          <w:b/>
          <w:bCs/>
        </w:rPr>
        <w:t>Propósito</w:t>
      </w:r>
      <w:r w:rsidRPr="00740BE6">
        <w:t xml:space="preserve">: </w:t>
      </w:r>
      <w:r w:rsidR="00BB6225">
        <w:t>Demostra</w:t>
      </w:r>
      <w:r w:rsidR="00FB3501">
        <w:t>r el valor de la gammagrafía de perfusión miocárdica en la cardiopatía isquémica</w:t>
      </w:r>
      <w:r w:rsidR="002706E2">
        <w:t xml:space="preserve">. </w:t>
      </w:r>
      <w:r w:rsidRPr="00740BE6">
        <w:rPr>
          <w:b/>
          <w:bCs/>
        </w:rPr>
        <w:t>Método</w:t>
      </w:r>
      <w:r w:rsidRPr="00740BE6">
        <w:t xml:space="preserve">: </w:t>
      </w:r>
      <w:r w:rsidR="00FB3501">
        <w:t>Se realizó un es</w:t>
      </w:r>
      <w:r w:rsidR="00DC2C86">
        <w:t>tudio observacional, longitudinal prospectivo, su universo fueron</w:t>
      </w:r>
      <w:r w:rsidR="000F20B6">
        <w:t xml:space="preserve"> 180</w:t>
      </w:r>
      <w:r w:rsidR="00DC2C86">
        <w:t xml:space="preserve"> pacientes que se realizaron</w:t>
      </w:r>
      <w:r w:rsidR="00FB3501">
        <w:t xml:space="preserve"> estudios de perfusión miocárdi</w:t>
      </w:r>
      <w:r w:rsidR="00946726">
        <w:t>ca</w:t>
      </w:r>
      <w:r w:rsidR="00DC2C86">
        <w:t xml:space="preserve"> para detectar isquemia. D</w:t>
      </w:r>
      <w:r w:rsidR="00946726">
        <w:t>esde enero 2018 a diciembre 2019</w:t>
      </w:r>
      <w:r w:rsidR="00DC2C86">
        <w:t xml:space="preserve"> en el hospital CIMEQ</w:t>
      </w:r>
      <w:r w:rsidR="00137031">
        <w:t>. Este estudio</w:t>
      </w:r>
      <w:r w:rsidR="002706E2">
        <w:t xml:space="preserve"> se empleó </w:t>
      </w:r>
      <w:r w:rsidR="000814D6">
        <w:t>para</w:t>
      </w:r>
      <w:r w:rsidR="00137031">
        <w:t xml:space="preserve"> diagnóstico y pronó</w:t>
      </w:r>
      <w:r w:rsidR="00BB4DE8">
        <w:t>stico de isquemia</w:t>
      </w:r>
      <w:r w:rsidR="00137031">
        <w:t xml:space="preserve"> miocárdica</w:t>
      </w:r>
      <w:r w:rsidRPr="00740BE6">
        <w:t xml:space="preserve">. </w:t>
      </w:r>
      <w:r w:rsidRPr="00740BE6">
        <w:rPr>
          <w:b/>
          <w:bCs/>
        </w:rPr>
        <w:t>Resultados</w:t>
      </w:r>
      <w:r w:rsidRPr="00740BE6">
        <w:t>:</w:t>
      </w:r>
      <w:r w:rsidR="00137031">
        <w:t xml:space="preserve"> El 53,3 % de los pacientes fueron </w:t>
      </w:r>
      <w:r w:rsidR="00DC2C86">
        <w:t>hombres</w:t>
      </w:r>
      <w:r w:rsidR="00882751">
        <w:t xml:space="preserve"> y el 78,3% padecían HTA. </w:t>
      </w:r>
      <w:r w:rsidR="00F97A4F">
        <w:t>Se realizó estrés físico</w:t>
      </w:r>
      <w:r w:rsidR="00DC2C86">
        <w:t xml:space="preserve"> en el</w:t>
      </w:r>
      <w:r w:rsidR="00D3455E">
        <w:t xml:space="preserve"> protocolo de detección de isquemia</w:t>
      </w:r>
      <w:r w:rsidR="00F97A4F">
        <w:t xml:space="preserve"> al 76,1%</w:t>
      </w:r>
      <w:r w:rsidR="00D3455E">
        <w:t>.</w:t>
      </w:r>
      <w:r w:rsidR="00882751">
        <w:t xml:space="preserve"> Predominó el r</w:t>
      </w:r>
      <w:r w:rsidR="00F97A4F">
        <w:t>esultado negativo en el 58,9%;</w:t>
      </w:r>
      <w:r w:rsidR="00DC2C86">
        <w:t xml:space="preserve"> </w:t>
      </w:r>
      <w:r w:rsidR="00882751">
        <w:t>en su ev</w:t>
      </w:r>
      <w:r w:rsidR="002940AE">
        <w:t>olución clínica al año solo el 2,8% presentó</w:t>
      </w:r>
      <w:r w:rsidR="00882751">
        <w:t xml:space="preserve"> eventos isquémicos. </w:t>
      </w:r>
      <w:r w:rsidR="00D3455E">
        <w:t>Al 41,1% se le demostró isquemia en la perfus</w:t>
      </w:r>
      <w:r w:rsidR="00F97A4F">
        <w:t>ión miocárdica, confirmándose</w:t>
      </w:r>
      <w:r w:rsidR="00D3455E">
        <w:t xml:space="preserve"> al </w:t>
      </w:r>
      <w:r w:rsidR="00EE6AA6">
        <w:t>82,4%</w:t>
      </w:r>
      <w:r w:rsidR="00D3455E">
        <w:t xml:space="preserve"> lesiones obstructivas</w:t>
      </w:r>
      <w:r w:rsidR="00EE6AA6">
        <w:t xml:space="preserve"> coronarias significativas.  Al año de evolución cl</w:t>
      </w:r>
      <w:r w:rsidR="0069417C">
        <w:t>ínica e</w:t>
      </w:r>
      <w:r w:rsidR="002940AE">
        <w:t>l 97,3</w:t>
      </w:r>
      <w:r w:rsidR="0069417C">
        <w:t>% presentó</w:t>
      </w:r>
      <w:r w:rsidR="00DC2C86">
        <w:t xml:space="preserve"> eventos isquémicos</w:t>
      </w:r>
      <w:r w:rsidR="00EE6AA6">
        <w:t>.</w:t>
      </w:r>
      <w:r w:rsidR="00E91FF3">
        <w:t xml:space="preserve"> La caída de</w:t>
      </w:r>
      <w:r w:rsidR="0069417C">
        <w:t xml:space="preserve"> la FEVI post-estrés evidenció eventos isquémicos </w:t>
      </w:r>
      <w:r w:rsidR="0016381C">
        <w:t xml:space="preserve">en el 87,5% </w:t>
      </w:r>
      <w:r w:rsidR="0069417C">
        <w:t>en</w:t>
      </w:r>
      <w:r w:rsidR="00DC2C86">
        <w:t xml:space="preserve"> los</w:t>
      </w:r>
      <w:r w:rsidR="0069417C">
        <w:t xml:space="preserve"> &lt;10% y en los &gt;10% se apreció en el 100%. </w:t>
      </w:r>
      <w:r w:rsidR="00E91FF3">
        <w:t xml:space="preserve"> </w:t>
      </w:r>
      <w:r w:rsidRPr="00740BE6">
        <w:rPr>
          <w:b/>
          <w:bCs/>
        </w:rPr>
        <w:t>Conclusiones</w:t>
      </w:r>
      <w:r w:rsidRPr="00740BE6">
        <w:t>:</w:t>
      </w:r>
      <w:r w:rsidR="00701036">
        <w:t xml:space="preserve"> La gammagrafía de perfusión miocárdica</w:t>
      </w:r>
      <w:r w:rsidR="0016381C">
        <w:t xml:space="preserve"> es una técnica no invasiva certera en el diagnóstico de la cardiopatía isquémica. Aportó seguridad en el pronóstico a largo plazo tras el resultado de la PM. </w:t>
      </w:r>
      <w:r w:rsidR="0069417C">
        <w:t>La caída de la FEVI post-estrés se comportó como una</w:t>
      </w:r>
      <w:r w:rsidR="0016381C">
        <w:t xml:space="preserve"> variable predictiva de realizar </w:t>
      </w:r>
      <w:r w:rsidR="006E2A2C">
        <w:t xml:space="preserve">futuros </w:t>
      </w:r>
      <w:r w:rsidR="0016381C">
        <w:t>e</w:t>
      </w:r>
      <w:r w:rsidR="006E2A2C">
        <w:t>ventos cardiacos</w:t>
      </w:r>
      <w:r w:rsidR="0016381C">
        <w:t xml:space="preserve">. </w:t>
      </w:r>
      <w:r w:rsidR="0069417C" w:rsidRPr="00740BE6">
        <w:t xml:space="preserve"> </w:t>
      </w:r>
      <w:r w:rsidR="00701036">
        <w:t xml:space="preserve">  </w:t>
      </w:r>
      <w:r w:rsidRPr="00740BE6">
        <w:t xml:space="preserve"> </w:t>
      </w:r>
      <w:r w:rsidR="000814D6">
        <w:t xml:space="preserve"> </w:t>
      </w:r>
    </w:p>
    <w:p w:rsidR="003D77F9" w:rsidRPr="00740BE6" w:rsidRDefault="003D77F9" w:rsidP="003D77F9"/>
    <w:p w:rsidR="003D77F9" w:rsidRPr="00740BE6" w:rsidRDefault="003D77F9" w:rsidP="003D77F9"/>
    <w:p w:rsidR="00353A4F" w:rsidRPr="00740BE6" w:rsidRDefault="00353A4F" w:rsidP="0096740D">
      <w:pPr>
        <w:pStyle w:val="Etiquetadeseccin"/>
        <w:tabs>
          <w:tab w:val="clear" w:pos="8640"/>
          <w:tab w:val="right" w:pos="7215"/>
        </w:tabs>
        <w:spacing w:after="360" w:line="480" w:lineRule="auto"/>
        <w:rPr>
          <w:b/>
        </w:rPr>
      </w:pPr>
      <w:r w:rsidRPr="00740BE6">
        <w:rPr>
          <w:b/>
        </w:rPr>
        <w:lastRenderedPageBreak/>
        <w:t>Tabla de contenido</w:t>
      </w:r>
      <w:r w:rsidR="00BC4969" w:rsidRPr="00740BE6">
        <w:rPr>
          <w:b/>
        </w:rPr>
        <w:t>S</w:t>
      </w:r>
    </w:p>
    <w:p w:rsidR="00347FE4" w:rsidRPr="00740BE6" w:rsidRDefault="00347FE4" w:rsidP="00EF6D32">
      <w:pPr>
        <w:pStyle w:val="Textoindependiente"/>
        <w:spacing w:line="480" w:lineRule="auto"/>
        <w:ind w:right="636"/>
        <w:jc w:val="right"/>
      </w:pPr>
      <w:r w:rsidRPr="00740BE6">
        <w:t>Pág.</w:t>
      </w:r>
    </w:p>
    <w:p w:rsidR="00402FE7" w:rsidRDefault="00F446E3">
      <w:pPr>
        <w:pStyle w:val="TDC1"/>
        <w:rPr>
          <w:rFonts w:ascii="Calibri" w:eastAsia="Times New Roman" w:hAnsi="Calibri" w:cs="Times New Roman"/>
          <w:noProof/>
          <w:spacing w:val="0"/>
          <w:sz w:val="22"/>
          <w:szCs w:val="22"/>
          <w:lang w:eastAsia="es-ES"/>
        </w:rPr>
      </w:pPr>
      <w:r>
        <w:fldChar w:fldCharType="begin"/>
      </w:r>
      <w:r>
        <w:instrText xml:space="preserve"> TOC \o "1-3" \h \z \u </w:instrText>
      </w:r>
      <w:r>
        <w:fldChar w:fldCharType="separate"/>
      </w:r>
      <w:hyperlink w:anchor="_Toc518382533" w:history="1">
        <w:r w:rsidR="00402FE7" w:rsidRPr="00105A33">
          <w:rPr>
            <w:rStyle w:val="Hipervnculo"/>
            <w:noProof/>
          </w:rPr>
          <w:t>INTRODUCCIÓN</w:t>
        </w:r>
        <w:r w:rsidR="00402FE7">
          <w:rPr>
            <w:noProof/>
            <w:webHidden/>
          </w:rPr>
          <w:tab/>
        </w:r>
        <w:r w:rsidR="00402FE7">
          <w:rPr>
            <w:noProof/>
            <w:webHidden/>
          </w:rPr>
          <w:fldChar w:fldCharType="begin"/>
        </w:r>
        <w:r w:rsidR="00402FE7">
          <w:rPr>
            <w:noProof/>
            <w:webHidden/>
          </w:rPr>
          <w:instrText xml:space="preserve"> PAGEREF _Toc518382533 \h </w:instrText>
        </w:r>
        <w:r w:rsidR="00402FE7">
          <w:rPr>
            <w:noProof/>
            <w:webHidden/>
          </w:rPr>
        </w:r>
        <w:r w:rsidR="00402FE7">
          <w:rPr>
            <w:noProof/>
            <w:webHidden/>
          </w:rPr>
          <w:fldChar w:fldCharType="separate"/>
        </w:r>
        <w:r w:rsidR="006C1E55">
          <w:rPr>
            <w:noProof/>
            <w:webHidden/>
          </w:rPr>
          <w:t>1</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34" w:history="1">
        <w:r w:rsidR="00402FE7" w:rsidRPr="00105A33">
          <w:rPr>
            <w:rStyle w:val="Hipervnculo"/>
            <w:bCs/>
            <w:noProof/>
          </w:rPr>
          <w:t>1) Contexto histórico social del objeto de estudio. Antecedentes</w:t>
        </w:r>
        <w:r w:rsidR="00402FE7">
          <w:rPr>
            <w:noProof/>
            <w:webHidden/>
          </w:rPr>
          <w:tab/>
        </w:r>
        <w:r w:rsidR="00402FE7">
          <w:rPr>
            <w:noProof/>
            <w:webHidden/>
          </w:rPr>
          <w:fldChar w:fldCharType="begin"/>
        </w:r>
        <w:r w:rsidR="00402FE7">
          <w:rPr>
            <w:noProof/>
            <w:webHidden/>
          </w:rPr>
          <w:instrText xml:space="preserve"> PAGEREF _Toc518382534 \h </w:instrText>
        </w:r>
        <w:r w:rsidR="00402FE7">
          <w:rPr>
            <w:noProof/>
            <w:webHidden/>
          </w:rPr>
        </w:r>
        <w:r w:rsidR="00402FE7">
          <w:rPr>
            <w:noProof/>
            <w:webHidden/>
          </w:rPr>
          <w:fldChar w:fldCharType="separate"/>
        </w:r>
        <w:r w:rsidR="006C1E55">
          <w:rPr>
            <w:noProof/>
            <w:webHidden/>
          </w:rPr>
          <w:t>2</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35" w:history="1">
        <w:r w:rsidR="00402FE7" w:rsidRPr="00105A33">
          <w:rPr>
            <w:rStyle w:val="Hipervnculo"/>
            <w:bCs/>
            <w:noProof/>
          </w:rPr>
          <w:t>2) Justificación</w:t>
        </w:r>
        <w:r w:rsidR="00402FE7">
          <w:rPr>
            <w:noProof/>
            <w:webHidden/>
          </w:rPr>
          <w:tab/>
        </w:r>
        <w:r w:rsidR="00402FE7">
          <w:rPr>
            <w:noProof/>
            <w:webHidden/>
          </w:rPr>
          <w:fldChar w:fldCharType="begin"/>
        </w:r>
        <w:r w:rsidR="00402FE7">
          <w:rPr>
            <w:noProof/>
            <w:webHidden/>
          </w:rPr>
          <w:instrText xml:space="preserve"> PAGEREF _Toc518382535 \h </w:instrText>
        </w:r>
        <w:r w:rsidR="00402FE7">
          <w:rPr>
            <w:noProof/>
            <w:webHidden/>
          </w:rPr>
        </w:r>
        <w:r w:rsidR="00402FE7">
          <w:rPr>
            <w:noProof/>
            <w:webHidden/>
          </w:rPr>
          <w:fldChar w:fldCharType="separate"/>
        </w:r>
        <w:r w:rsidR="006C1E55">
          <w:rPr>
            <w:noProof/>
            <w:webHidden/>
          </w:rPr>
          <w:t>6</w:t>
        </w:r>
        <w:r w:rsidR="00402FE7">
          <w:rPr>
            <w:noProof/>
            <w:webHidden/>
          </w:rPr>
          <w:fldChar w:fldCharType="end"/>
        </w:r>
      </w:hyperlink>
    </w:p>
    <w:p w:rsidR="00402FE7" w:rsidRDefault="009106B2" w:rsidP="00F83F53">
      <w:pPr>
        <w:pStyle w:val="TDC2"/>
        <w:rPr>
          <w:rFonts w:ascii="Calibri" w:eastAsia="Times New Roman" w:hAnsi="Calibri" w:cs="Times New Roman"/>
          <w:noProof/>
          <w:spacing w:val="0"/>
          <w:sz w:val="22"/>
          <w:szCs w:val="22"/>
          <w:lang w:eastAsia="es-ES"/>
        </w:rPr>
      </w:pPr>
      <w:hyperlink w:anchor="_Toc518382536" w:history="1">
        <w:r w:rsidR="00402FE7" w:rsidRPr="00105A33">
          <w:rPr>
            <w:rStyle w:val="Hipervnculo"/>
            <w:bCs/>
            <w:noProof/>
          </w:rPr>
          <w:t>3) Problema</w:t>
        </w:r>
        <w:r w:rsidR="00402FE7">
          <w:rPr>
            <w:noProof/>
            <w:webHidden/>
          </w:rPr>
          <w:tab/>
        </w:r>
        <w:r w:rsidR="00402FE7">
          <w:rPr>
            <w:noProof/>
            <w:webHidden/>
          </w:rPr>
          <w:fldChar w:fldCharType="begin"/>
        </w:r>
        <w:r w:rsidR="00402FE7">
          <w:rPr>
            <w:noProof/>
            <w:webHidden/>
          </w:rPr>
          <w:instrText xml:space="preserve"> PAGEREF _Toc518382536 \h </w:instrText>
        </w:r>
        <w:r w:rsidR="00402FE7">
          <w:rPr>
            <w:noProof/>
            <w:webHidden/>
          </w:rPr>
        </w:r>
        <w:r w:rsidR="00402FE7">
          <w:rPr>
            <w:noProof/>
            <w:webHidden/>
          </w:rPr>
          <w:fldChar w:fldCharType="separate"/>
        </w:r>
        <w:r w:rsidR="006C1E55">
          <w:rPr>
            <w:noProof/>
            <w:webHidden/>
          </w:rPr>
          <w:t>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38" w:history="1">
        <w:r w:rsidR="00F83F53">
          <w:rPr>
            <w:rStyle w:val="Hipervnculo"/>
            <w:bCs/>
            <w:noProof/>
          </w:rPr>
          <w:t>4</w:t>
        </w:r>
        <w:r w:rsidR="00402FE7" w:rsidRPr="00105A33">
          <w:rPr>
            <w:rStyle w:val="Hipervnculo"/>
            <w:bCs/>
            <w:noProof/>
          </w:rPr>
          <w:t>) Objetivos</w:t>
        </w:r>
        <w:r w:rsidR="00402FE7">
          <w:rPr>
            <w:noProof/>
            <w:webHidden/>
          </w:rPr>
          <w:tab/>
        </w:r>
        <w:r w:rsidR="00402FE7">
          <w:rPr>
            <w:noProof/>
            <w:webHidden/>
          </w:rPr>
          <w:fldChar w:fldCharType="begin"/>
        </w:r>
        <w:r w:rsidR="00402FE7">
          <w:rPr>
            <w:noProof/>
            <w:webHidden/>
          </w:rPr>
          <w:instrText xml:space="preserve"> PAGEREF _Toc518382538 \h </w:instrText>
        </w:r>
        <w:r w:rsidR="00402FE7">
          <w:rPr>
            <w:noProof/>
            <w:webHidden/>
          </w:rPr>
        </w:r>
        <w:r w:rsidR="00402FE7">
          <w:rPr>
            <w:noProof/>
            <w:webHidden/>
          </w:rPr>
          <w:fldChar w:fldCharType="separate"/>
        </w:r>
        <w:r w:rsidR="006C1E55">
          <w:rPr>
            <w:noProof/>
            <w:webHidden/>
          </w:rPr>
          <w:t>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39" w:history="1">
        <w:r w:rsidR="00F83F53">
          <w:rPr>
            <w:rStyle w:val="Hipervnculo"/>
            <w:bCs/>
            <w:noProof/>
          </w:rPr>
          <w:t>5</w:t>
        </w:r>
        <w:r w:rsidR="00402FE7" w:rsidRPr="00105A33">
          <w:rPr>
            <w:rStyle w:val="Hipervnculo"/>
            <w:bCs/>
            <w:noProof/>
          </w:rPr>
          <w:t>) Novedad científica del estudio</w:t>
        </w:r>
        <w:r w:rsidR="00402FE7">
          <w:rPr>
            <w:noProof/>
            <w:webHidden/>
          </w:rPr>
          <w:tab/>
        </w:r>
        <w:r w:rsidR="00402FE7">
          <w:rPr>
            <w:noProof/>
            <w:webHidden/>
          </w:rPr>
          <w:fldChar w:fldCharType="begin"/>
        </w:r>
        <w:r w:rsidR="00402FE7">
          <w:rPr>
            <w:noProof/>
            <w:webHidden/>
          </w:rPr>
          <w:instrText xml:space="preserve"> PAGEREF _Toc518382539 \h </w:instrText>
        </w:r>
        <w:r w:rsidR="00402FE7">
          <w:rPr>
            <w:noProof/>
            <w:webHidden/>
          </w:rPr>
        </w:r>
        <w:r w:rsidR="00402FE7">
          <w:rPr>
            <w:noProof/>
            <w:webHidden/>
          </w:rPr>
          <w:fldChar w:fldCharType="separate"/>
        </w:r>
        <w:r w:rsidR="006C1E55">
          <w:rPr>
            <w:noProof/>
            <w:webHidden/>
          </w:rPr>
          <w:t>9</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40" w:history="1">
        <w:r w:rsidR="00402FE7" w:rsidRPr="00105A33">
          <w:rPr>
            <w:rStyle w:val="Hipervnculo"/>
            <w:noProof/>
            <w:lang w:val="pt-BR"/>
          </w:rPr>
          <w:t xml:space="preserve">I. CAPÍTULO: </w:t>
        </w:r>
        <w:r w:rsidR="00402FE7" w:rsidRPr="00105A33">
          <w:rPr>
            <w:rStyle w:val="Hipervnculo"/>
            <w:noProof/>
          </w:rPr>
          <w:t>MARCO TEÓRICO</w:t>
        </w:r>
        <w:r w:rsidR="00402FE7">
          <w:rPr>
            <w:noProof/>
            <w:webHidden/>
          </w:rPr>
          <w:tab/>
        </w:r>
        <w:r w:rsidR="00402FE7">
          <w:rPr>
            <w:noProof/>
            <w:webHidden/>
          </w:rPr>
          <w:fldChar w:fldCharType="begin"/>
        </w:r>
        <w:r w:rsidR="00402FE7">
          <w:rPr>
            <w:noProof/>
            <w:webHidden/>
          </w:rPr>
          <w:instrText xml:space="preserve"> PAGEREF _Toc518382540 \h </w:instrText>
        </w:r>
        <w:r w:rsidR="00402FE7">
          <w:rPr>
            <w:noProof/>
            <w:webHidden/>
          </w:rPr>
        </w:r>
        <w:r w:rsidR="00402FE7">
          <w:rPr>
            <w:noProof/>
            <w:webHidden/>
          </w:rPr>
          <w:fldChar w:fldCharType="separate"/>
        </w:r>
        <w:r w:rsidR="006C1E55">
          <w:rPr>
            <w:noProof/>
            <w:webHidden/>
          </w:rPr>
          <w:t>10</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41" w:history="1">
        <w:r w:rsidR="00402FE7" w:rsidRPr="00105A33">
          <w:rPr>
            <w:rStyle w:val="Hipervnculo"/>
            <w:noProof/>
            <w:lang w:val="pt-BR"/>
          </w:rPr>
          <w:t>II. CAPÍTULO: CONTROL SEMÁNTICO</w:t>
        </w:r>
        <w:r w:rsidR="00402FE7">
          <w:rPr>
            <w:noProof/>
            <w:webHidden/>
          </w:rPr>
          <w:tab/>
        </w:r>
        <w:r w:rsidR="00402FE7">
          <w:rPr>
            <w:noProof/>
            <w:webHidden/>
          </w:rPr>
          <w:fldChar w:fldCharType="begin"/>
        </w:r>
        <w:r w:rsidR="00402FE7">
          <w:rPr>
            <w:noProof/>
            <w:webHidden/>
          </w:rPr>
          <w:instrText xml:space="preserve"> PAGEREF _Toc518382541 \h </w:instrText>
        </w:r>
        <w:r w:rsidR="00402FE7">
          <w:rPr>
            <w:noProof/>
            <w:webHidden/>
          </w:rPr>
        </w:r>
        <w:r w:rsidR="00402FE7">
          <w:rPr>
            <w:noProof/>
            <w:webHidden/>
          </w:rPr>
          <w:fldChar w:fldCharType="separate"/>
        </w:r>
        <w:r w:rsidR="006C1E55">
          <w:rPr>
            <w:noProof/>
            <w:webHidden/>
          </w:rPr>
          <w:t>34</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42" w:history="1">
        <w:r w:rsidR="00402FE7" w:rsidRPr="00105A33">
          <w:rPr>
            <w:rStyle w:val="Hipervnculo"/>
            <w:noProof/>
            <w:lang w:val="pt-BR"/>
          </w:rPr>
          <w:t>III. CAPÍTULO: MATERIAL Y MÉTODOS</w:t>
        </w:r>
        <w:r w:rsidR="00402FE7">
          <w:rPr>
            <w:noProof/>
            <w:webHidden/>
          </w:rPr>
          <w:tab/>
        </w:r>
        <w:r w:rsidR="00402FE7">
          <w:rPr>
            <w:noProof/>
            <w:webHidden/>
          </w:rPr>
          <w:fldChar w:fldCharType="begin"/>
        </w:r>
        <w:r w:rsidR="00402FE7">
          <w:rPr>
            <w:noProof/>
            <w:webHidden/>
          </w:rPr>
          <w:instrText xml:space="preserve"> PAGEREF _Toc518382542 \h </w:instrText>
        </w:r>
        <w:r w:rsidR="00402FE7">
          <w:rPr>
            <w:noProof/>
            <w:webHidden/>
          </w:rPr>
        </w:r>
        <w:r w:rsidR="00402FE7">
          <w:rPr>
            <w:noProof/>
            <w:webHidden/>
          </w:rPr>
          <w:fldChar w:fldCharType="separate"/>
        </w:r>
        <w:r w:rsidR="006C1E55">
          <w:rPr>
            <w:noProof/>
            <w:webHidden/>
          </w:rPr>
          <w:t>37</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3" w:history="1">
        <w:r w:rsidR="00402FE7" w:rsidRPr="00105A33">
          <w:rPr>
            <w:rStyle w:val="Hipervnculo"/>
            <w:bCs/>
            <w:noProof/>
          </w:rPr>
          <w:t>3.1- Tipo de investigación</w:t>
        </w:r>
        <w:r w:rsidR="00402FE7">
          <w:rPr>
            <w:noProof/>
            <w:webHidden/>
          </w:rPr>
          <w:tab/>
        </w:r>
        <w:r w:rsidR="00402FE7">
          <w:rPr>
            <w:noProof/>
            <w:webHidden/>
          </w:rPr>
          <w:fldChar w:fldCharType="begin"/>
        </w:r>
        <w:r w:rsidR="00402FE7">
          <w:rPr>
            <w:noProof/>
            <w:webHidden/>
          </w:rPr>
          <w:instrText xml:space="preserve"> PAGEREF _Toc518382543 \h </w:instrText>
        </w:r>
        <w:r w:rsidR="00402FE7">
          <w:rPr>
            <w:noProof/>
            <w:webHidden/>
          </w:rPr>
        </w:r>
        <w:r w:rsidR="00402FE7">
          <w:rPr>
            <w:noProof/>
            <w:webHidden/>
          </w:rPr>
          <w:fldChar w:fldCharType="separate"/>
        </w:r>
        <w:r w:rsidR="006C1E55">
          <w:rPr>
            <w:noProof/>
            <w:webHidden/>
          </w:rPr>
          <w:t>38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4" w:history="1">
        <w:r w:rsidR="00402FE7" w:rsidRPr="00105A33">
          <w:rPr>
            <w:rStyle w:val="Hipervnculo"/>
            <w:bCs/>
            <w:noProof/>
          </w:rPr>
          <w:t>3.2- Período y lugar donde se desarrolla la investigación</w:t>
        </w:r>
        <w:r w:rsidR="00402FE7">
          <w:rPr>
            <w:noProof/>
            <w:webHidden/>
          </w:rPr>
          <w:tab/>
        </w:r>
        <w:r w:rsidR="00402FE7">
          <w:rPr>
            <w:noProof/>
            <w:webHidden/>
          </w:rPr>
          <w:fldChar w:fldCharType="begin"/>
        </w:r>
        <w:r w:rsidR="00402FE7">
          <w:rPr>
            <w:noProof/>
            <w:webHidden/>
          </w:rPr>
          <w:instrText xml:space="preserve"> PAGEREF _Toc518382544 \h </w:instrText>
        </w:r>
        <w:r w:rsidR="00402FE7">
          <w:rPr>
            <w:noProof/>
            <w:webHidden/>
          </w:rPr>
        </w:r>
        <w:r w:rsidR="00402FE7">
          <w:rPr>
            <w:noProof/>
            <w:webHidden/>
          </w:rPr>
          <w:fldChar w:fldCharType="separate"/>
        </w:r>
        <w:r w:rsidR="006C1E55">
          <w:rPr>
            <w:noProof/>
            <w:webHidden/>
          </w:rPr>
          <w:t>38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5" w:history="1">
        <w:r w:rsidR="00402FE7" w:rsidRPr="00105A33">
          <w:rPr>
            <w:rStyle w:val="Hipervnculo"/>
            <w:bCs/>
            <w:noProof/>
          </w:rPr>
          <w:t>3.3- Universo o muestra</w:t>
        </w:r>
        <w:r w:rsidR="00402FE7">
          <w:rPr>
            <w:noProof/>
            <w:webHidden/>
          </w:rPr>
          <w:tab/>
        </w:r>
        <w:r w:rsidR="00402FE7">
          <w:rPr>
            <w:noProof/>
            <w:webHidden/>
          </w:rPr>
          <w:fldChar w:fldCharType="begin"/>
        </w:r>
        <w:r w:rsidR="00402FE7">
          <w:rPr>
            <w:noProof/>
            <w:webHidden/>
          </w:rPr>
          <w:instrText xml:space="preserve"> PAGEREF _Toc518382545 \h </w:instrText>
        </w:r>
        <w:r w:rsidR="00402FE7">
          <w:rPr>
            <w:noProof/>
            <w:webHidden/>
          </w:rPr>
        </w:r>
        <w:r w:rsidR="00402FE7">
          <w:rPr>
            <w:noProof/>
            <w:webHidden/>
          </w:rPr>
          <w:fldChar w:fldCharType="separate"/>
        </w:r>
        <w:r w:rsidR="006C1E55">
          <w:rPr>
            <w:noProof/>
            <w:webHidden/>
          </w:rPr>
          <w:t>38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6" w:history="1">
        <w:r w:rsidR="00402FE7" w:rsidRPr="00105A33">
          <w:rPr>
            <w:rStyle w:val="Hipervnculo"/>
            <w:bCs/>
            <w:noProof/>
          </w:rPr>
          <w:t>3.4- Operacionalización de las variables</w:t>
        </w:r>
        <w:r w:rsidR="00402FE7">
          <w:rPr>
            <w:noProof/>
            <w:webHidden/>
          </w:rPr>
          <w:tab/>
        </w:r>
        <w:r w:rsidR="00402FE7">
          <w:rPr>
            <w:noProof/>
            <w:webHidden/>
          </w:rPr>
          <w:fldChar w:fldCharType="begin"/>
        </w:r>
        <w:r w:rsidR="00402FE7">
          <w:rPr>
            <w:noProof/>
            <w:webHidden/>
          </w:rPr>
          <w:instrText xml:space="preserve"> PAGEREF _Toc518382546 \h </w:instrText>
        </w:r>
        <w:r w:rsidR="00402FE7">
          <w:rPr>
            <w:noProof/>
            <w:webHidden/>
          </w:rPr>
        </w:r>
        <w:r w:rsidR="00402FE7">
          <w:rPr>
            <w:noProof/>
            <w:webHidden/>
          </w:rPr>
          <w:fldChar w:fldCharType="separate"/>
        </w:r>
        <w:r w:rsidR="006C1E55">
          <w:rPr>
            <w:noProof/>
            <w:webHidden/>
          </w:rPr>
          <w:t>38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7" w:history="1">
        <w:r w:rsidR="00402FE7" w:rsidRPr="00105A33">
          <w:rPr>
            <w:rStyle w:val="Hipervnculo"/>
            <w:bCs/>
            <w:noProof/>
          </w:rPr>
          <w:t>3.5- Métodos de recolección y procesamiento de la información</w:t>
        </w:r>
        <w:r w:rsidR="00402FE7">
          <w:rPr>
            <w:noProof/>
            <w:webHidden/>
          </w:rPr>
          <w:tab/>
        </w:r>
        <w:r w:rsidR="00402FE7">
          <w:rPr>
            <w:noProof/>
            <w:webHidden/>
          </w:rPr>
          <w:fldChar w:fldCharType="begin"/>
        </w:r>
        <w:r w:rsidR="00402FE7">
          <w:rPr>
            <w:noProof/>
            <w:webHidden/>
          </w:rPr>
          <w:instrText xml:space="preserve"> PAGEREF _Toc518382547 \h </w:instrText>
        </w:r>
        <w:r w:rsidR="00402FE7">
          <w:rPr>
            <w:noProof/>
            <w:webHidden/>
          </w:rPr>
        </w:r>
        <w:r w:rsidR="00402FE7">
          <w:rPr>
            <w:noProof/>
            <w:webHidden/>
          </w:rPr>
          <w:fldChar w:fldCharType="separate"/>
        </w:r>
        <w:r w:rsidR="006C1E55">
          <w:rPr>
            <w:noProof/>
            <w:webHidden/>
          </w:rPr>
          <w:t>43</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8" w:history="1">
        <w:r w:rsidR="00402FE7" w:rsidRPr="00105A33">
          <w:rPr>
            <w:rStyle w:val="Hipervnculo"/>
            <w:bCs/>
            <w:noProof/>
          </w:rPr>
          <w:t>3.6- Aspectos éticos</w:t>
        </w:r>
        <w:r w:rsidR="00402FE7">
          <w:rPr>
            <w:noProof/>
            <w:webHidden/>
          </w:rPr>
          <w:tab/>
        </w:r>
        <w:r w:rsidR="00402FE7">
          <w:rPr>
            <w:noProof/>
            <w:webHidden/>
          </w:rPr>
          <w:fldChar w:fldCharType="begin"/>
        </w:r>
        <w:r w:rsidR="00402FE7">
          <w:rPr>
            <w:noProof/>
            <w:webHidden/>
          </w:rPr>
          <w:instrText xml:space="preserve"> PAGEREF _Toc518382548 \h </w:instrText>
        </w:r>
        <w:r w:rsidR="00402FE7">
          <w:rPr>
            <w:noProof/>
            <w:webHidden/>
          </w:rPr>
        </w:r>
        <w:r w:rsidR="00402FE7">
          <w:rPr>
            <w:noProof/>
            <w:webHidden/>
          </w:rPr>
          <w:fldChar w:fldCharType="separate"/>
        </w:r>
        <w:r w:rsidR="006C1E55">
          <w:rPr>
            <w:noProof/>
            <w:webHidden/>
          </w:rPr>
          <w:t>48</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49" w:history="1">
        <w:r w:rsidR="00402FE7" w:rsidRPr="00105A33">
          <w:rPr>
            <w:rStyle w:val="Hipervnculo"/>
            <w:bCs/>
            <w:noProof/>
          </w:rPr>
          <w:t>3.7- Limitaciones del estudio</w:t>
        </w:r>
        <w:r w:rsidR="00402FE7">
          <w:rPr>
            <w:noProof/>
            <w:webHidden/>
          </w:rPr>
          <w:tab/>
        </w:r>
        <w:r w:rsidR="00402FE7">
          <w:rPr>
            <w:noProof/>
            <w:webHidden/>
          </w:rPr>
          <w:fldChar w:fldCharType="begin"/>
        </w:r>
        <w:r w:rsidR="00402FE7">
          <w:rPr>
            <w:noProof/>
            <w:webHidden/>
          </w:rPr>
          <w:instrText xml:space="preserve"> PAGEREF _Toc518382549 \h </w:instrText>
        </w:r>
        <w:r w:rsidR="00402FE7">
          <w:rPr>
            <w:noProof/>
            <w:webHidden/>
          </w:rPr>
        </w:r>
        <w:r w:rsidR="00402FE7">
          <w:rPr>
            <w:noProof/>
            <w:webHidden/>
          </w:rPr>
          <w:fldChar w:fldCharType="separate"/>
        </w:r>
        <w:r w:rsidR="006C1E55">
          <w:rPr>
            <w:noProof/>
            <w:webHidden/>
          </w:rPr>
          <w:t>48</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0" w:history="1">
        <w:r w:rsidR="00402FE7" w:rsidRPr="00105A33">
          <w:rPr>
            <w:rStyle w:val="Hipervnculo"/>
            <w:noProof/>
          </w:rPr>
          <w:t>IV. CAPÍTULO: RESULTADOS Y DISCUSIÓN</w:t>
        </w:r>
        <w:r w:rsidR="00402FE7">
          <w:rPr>
            <w:noProof/>
            <w:webHidden/>
          </w:rPr>
          <w:tab/>
        </w:r>
        <w:r w:rsidR="00402FE7">
          <w:rPr>
            <w:noProof/>
            <w:webHidden/>
          </w:rPr>
          <w:fldChar w:fldCharType="begin"/>
        </w:r>
        <w:r w:rsidR="00402FE7">
          <w:rPr>
            <w:noProof/>
            <w:webHidden/>
          </w:rPr>
          <w:instrText xml:space="preserve"> PAGEREF _Toc518382550 \h </w:instrText>
        </w:r>
        <w:r w:rsidR="00402FE7">
          <w:rPr>
            <w:noProof/>
            <w:webHidden/>
          </w:rPr>
        </w:r>
        <w:r w:rsidR="00402FE7">
          <w:rPr>
            <w:noProof/>
            <w:webHidden/>
          </w:rPr>
          <w:fldChar w:fldCharType="separate"/>
        </w:r>
        <w:r w:rsidR="006C1E55">
          <w:rPr>
            <w:noProof/>
            <w:webHidden/>
          </w:rPr>
          <w:t>49</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51" w:history="1">
        <w:r w:rsidR="00402FE7" w:rsidRPr="00105A33">
          <w:rPr>
            <w:rStyle w:val="Hipervnculo"/>
            <w:noProof/>
          </w:rPr>
          <w:t>4.1- Resultados</w:t>
        </w:r>
        <w:r w:rsidR="00402FE7">
          <w:rPr>
            <w:noProof/>
            <w:webHidden/>
          </w:rPr>
          <w:tab/>
        </w:r>
        <w:r w:rsidR="00402FE7">
          <w:rPr>
            <w:noProof/>
            <w:webHidden/>
          </w:rPr>
          <w:fldChar w:fldCharType="begin"/>
        </w:r>
        <w:r w:rsidR="00402FE7">
          <w:rPr>
            <w:noProof/>
            <w:webHidden/>
          </w:rPr>
          <w:instrText xml:space="preserve"> PAGEREF _Toc518382551 \h </w:instrText>
        </w:r>
        <w:r w:rsidR="00402FE7">
          <w:rPr>
            <w:noProof/>
            <w:webHidden/>
          </w:rPr>
        </w:r>
        <w:r w:rsidR="00402FE7">
          <w:rPr>
            <w:noProof/>
            <w:webHidden/>
          </w:rPr>
          <w:fldChar w:fldCharType="separate"/>
        </w:r>
        <w:r w:rsidR="006C1E55">
          <w:rPr>
            <w:noProof/>
            <w:webHidden/>
          </w:rPr>
          <w:t>50</w:t>
        </w:r>
        <w:r w:rsidR="00402FE7">
          <w:rPr>
            <w:noProof/>
            <w:webHidden/>
          </w:rPr>
          <w:fldChar w:fldCharType="end"/>
        </w:r>
      </w:hyperlink>
    </w:p>
    <w:p w:rsidR="00402FE7" w:rsidRDefault="009106B2">
      <w:pPr>
        <w:pStyle w:val="TDC2"/>
        <w:rPr>
          <w:rFonts w:ascii="Calibri" w:eastAsia="Times New Roman" w:hAnsi="Calibri" w:cs="Times New Roman"/>
          <w:noProof/>
          <w:spacing w:val="0"/>
          <w:sz w:val="22"/>
          <w:szCs w:val="22"/>
          <w:lang w:eastAsia="es-ES"/>
        </w:rPr>
      </w:pPr>
      <w:hyperlink w:anchor="_Toc518382552" w:history="1">
        <w:r w:rsidR="00402FE7" w:rsidRPr="00105A33">
          <w:rPr>
            <w:rStyle w:val="Hipervnculo"/>
            <w:noProof/>
          </w:rPr>
          <w:t>4.2- Discusión</w:t>
        </w:r>
        <w:r w:rsidR="00402FE7">
          <w:rPr>
            <w:noProof/>
            <w:webHidden/>
          </w:rPr>
          <w:tab/>
        </w:r>
        <w:r w:rsidR="00402FE7">
          <w:rPr>
            <w:noProof/>
            <w:webHidden/>
          </w:rPr>
          <w:fldChar w:fldCharType="begin"/>
        </w:r>
        <w:r w:rsidR="00402FE7">
          <w:rPr>
            <w:noProof/>
            <w:webHidden/>
          </w:rPr>
          <w:instrText xml:space="preserve"> PAGEREF _Toc518382552 \h </w:instrText>
        </w:r>
        <w:r w:rsidR="00402FE7">
          <w:rPr>
            <w:noProof/>
            <w:webHidden/>
          </w:rPr>
        </w:r>
        <w:r w:rsidR="00402FE7">
          <w:rPr>
            <w:noProof/>
            <w:webHidden/>
          </w:rPr>
          <w:fldChar w:fldCharType="separate"/>
        </w:r>
        <w:r w:rsidR="006C1E55">
          <w:rPr>
            <w:noProof/>
            <w:webHidden/>
          </w:rPr>
          <w:t>58</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3" w:history="1">
        <w:r w:rsidR="00402FE7" w:rsidRPr="00105A33">
          <w:rPr>
            <w:rStyle w:val="Hipervnculo"/>
            <w:noProof/>
          </w:rPr>
          <w:t>CONCLUSIONES</w:t>
        </w:r>
        <w:r w:rsidR="00402FE7">
          <w:rPr>
            <w:noProof/>
            <w:webHidden/>
          </w:rPr>
          <w:tab/>
        </w:r>
        <w:r w:rsidR="00402FE7">
          <w:rPr>
            <w:noProof/>
            <w:webHidden/>
          </w:rPr>
          <w:fldChar w:fldCharType="begin"/>
        </w:r>
        <w:r w:rsidR="00402FE7">
          <w:rPr>
            <w:noProof/>
            <w:webHidden/>
          </w:rPr>
          <w:instrText xml:space="preserve"> PAGEREF _Toc518382553 \h </w:instrText>
        </w:r>
        <w:r w:rsidR="00402FE7">
          <w:rPr>
            <w:noProof/>
            <w:webHidden/>
          </w:rPr>
        </w:r>
        <w:r w:rsidR="00402FE7">
          <w:rPr>
            <w:noProof/>
            <w:webHidden/>
          </w:rPr>
          <w:fldChar w:fldCharType="separate"/>
        </w:r>
        <w:r w:rsidR="006C1E55">
          <w:rPr>
            <w:noProof/>
            <w:webHidden/>
          </w:rPr>
          <w:t>71</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4" w:history="1">
        <w:r w:rsidR="00402FE7" w:rsidRPr="00105A33">
          <w:rPr>
            <w:rStyle w:val="Hipervnculo"/>
            <w:noProof/>
          </w:rPr>
          <w:t>RECOMENDACIONES</w:t>
        </w:r>
        <w:r w:rsidR="00402FE7">
          <w:rPr>
            <w:noProof/>
            <w:webHidden/>
          </w:rPr>
          <w:tab/>
        </w:r>
        <w:r w:rsidR="00402FE7">
          <w:rPr>
            <w:noProof/>
            <w:webHidden/>
          </w:rPr>
          <w:fldChar w:fldCharType="begin"/>
        </w:r>
        <w:r w:rsidR="00402FE7">
          <w:rPr>
            <w:noProof/>
            <w:webHidden/>
          </w:rPr>
          <w:instrText xml:space="preserve"> PAGEREF _Toc518382554 \h </w:instrText>
        </w:r>
        <w:r w:rsidR="00402FE7">
          <w:rPr>
            <w:noProof/>
            <w:webHidden/>
          </w:rPr>
        </w:r>
        <w:r w:rsidR="00402FE7">
          <w:rPr>
            <w:noProof/>
            <w:webHidden/>
          </w:rPr>
          <w:fldChar w:fldCharType="separate"/>
        </w:r>
        <w:r w:rsidR="006C1E55">
          <w:rPr>
            <w:noProof/>
            <w:webHidden/>
          </w:rPr>
          <w:t>72</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5" w:history="1">
        <w:r w:rsidR="00402FE7" w:rsidRPr="00105A33">
          <w:rPr>
            <w:rStyle w:val="Hipervnculo"/>
            <w:noProof/>
          </w:rPr>
          <w:t>REFERENCIAS BIBLIOGRÁFICAS</w:t>
        </w:r>
        <w:r w:rsidR="00402FE7">
          <w:rPr>
            <w:noProof/>
            <w:webHidden/>
          </w:rPr>
          <w:tab/>
        </w:r>
        <w:r w:rsidR="00402FE7">
          <w:rPr>
            <w:noProof/>
            <w:webHidden/>
          </w:rPr>
          <w:fldChar w:fldCharType="begin"/>
        </w:r>
        <w:r w:rsidR="00402FE7">
          <w:rPr>
            <w:noProof/>
            <w:webHidden/>
          </w:rPr>
          <w:instrText xml:space="preserve"> PAGEREF _Toc518382555 \h </w:instrText>
        </w:r>
        <w:r w:rsidR="00402FE7">
          <w:rPr>
            <w:noProof/>
            <w:webHidden/>
          </w:rPr>
        </w:r>
        <w:r w:rsidR="00402FE7">
          <w:rPr>
            <w:noProof/>
            <w:webHidden/>
          </w:rPr>
          <w:fldChar w:fldCharType="separate"/>
        </w:r>
        <w:r w:rsidR="006C1E55">
          <w:rPr>
            <w:noProof/>
            <w:webHidden/>
          </w:rPr>
          <w:t>73</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6" w:history="1">
        <w:r w:rsidR="00402FE7" w:rsidRPr="00105A33">
          <w:rPr>
            <w:rStyle w:val="Hipervnculo"/>
            <w:noProof/>
          </w:rPr>
          <w:t>BIBLIOGRAFÍA CONSULTADA</w:t>
        </w:r>
        <w:r w:rsidR="00402FE7">
          <w:rPr>
            <w:noProof/>
            <w:webHidden/>
          </w:rPr>
          <w:tab/>
        </w:r>
        <w:r w:rsidR="00402FE7">
          <w:rPr>
            <w:noProof/>
            <w:webHidden/>
          </w:rPr>
          <w:fldChar w:fldCharType="begin"/>
        </w:r>
        <w:r w:rsidR="00402FE7">
          <w:rPr>
            <w:noProof/>
            <w:webHidden/>
          </w:rPr>
          <w:instrText xml:space="preserve"> PAGEREF _Toc518382556 \h </w:instrText>
        </w:r>
        <w:r w:rsidR="00402FE7">
          <w:rPr>
            <w:noProof/>
            <w:webHidden/>
          </w:rPr>
        </w:r>
        <w:r w:rsidR="00402FE7">
          <w:rPr>
            <w:noProof/>
            <w:webHidden/>
          </w:rPr>
          <w:fldChar w:fldCharType="separate"/>
        </w:r>
        <w:r w:rsidR="006C1E55">
          <w:rPr>
            <w:noProof/>
            <w:webHidden/>
          </w:rPr>
          <w:t>80</w:t>
        </w:r>
        <w:r w:rsidR="00402FE7">
          <w:rPr>
            <w:noProof/>
            <w:webHidden/>
          </w:rPr>
          <w:fldChar w:fldCharType="end"/>
        </w:r>
      </w:hyperlink>
    </w:p>
    <w:p w:rsidR="00402FE7" w:rsidRDefault="009106B2">
      <w:pPr>
        <w:pStyle w:val="TDC1"/>
        <w:rPr>
          <w:rFonts w:ascii="Calibri" w:eastAsia="Times New Roman" w:hAnsi="Calibri" w:cs="Times New Roman"/>
          <w:noProof/>
          <w:spacing w:val="0"/>
          <w:sz w:val="22"/>
          <w:szCs w:val="22"/>
          <w:lang w:eastAsia="es-ES"/>
        </w:rPr>
      </w:pPr>
      <w:hyperlink w:anchor="_Toc518382557" w:history="1">
        <w:r w:rsidR="00402FE7" w:rsidRPr="00105A33">
          <w:rPr>
            <w:rStyle w:val="Hipervnculo"/>
            <w:noProof/>
          </w:rPr>
          <w:t>ANEXOS</w:t>
        </w:r>
        <w:r w:rsidR="00402FE7">
          <w:rPr>
            <w:noProof/>
            <w:webHidden/>
          </w:rPr>
          <w:tab/>
        </w:r>
        <w:r w:rsidR="00402FE7">
          <w:rPr>
            <w:noProof/>
            <w:webHidden/>
          </w:rPr>
          <w:fldChar w:fldCharType="begin"/>
        </w:r>
        <w:r w:rsidR="00402FE7">
          <w:rPr>
            <w:noProof/>
            <w:webHidden/>
          </w:rPr>
          <w:instrText xml:space="preserve"> PAGEREF _Toc518382557 \h </w:instrText>
        </w:r>
        <w:r w:rsidR="00402FE7">
          <w:rPr>
            <w:noProof/>
            <w:webHidden/>
          </w:rPr>
        </w:r>
        <w:r w:rsidR="00402FE7">
          <w:rPr>
            <w:noProof/>
            <w:webHidden/>
          </w:rPr>
          <w:fldChar w:fldCharType="separate"/>
        </w:r>
        <w:r w:rsidR="006C1E55">
          <w:rPr>
            <w:noProof/>
            <w:webHidden/>
          </w:rPr>
          <w:t>81</w:t>
        </w:r>
        <w:r w:rsidR="00402FE7">
          <w:rPr>
            <w:noProof/>
            <w:webHidden/>
          </w:rPr>
          <w:fldChar w:fldCharType="end"/>
        </w:r>
      </w:hyperlink>
    </w:p>
    <w:p w:rsidR="004D5F83" w:rsidRPr="00740BE6" w:rsidRDefault="00F446E3" w:rsidP="007750F7">
      <w:pPr>
        <w:pStyle w:val="Ttulo1"/>
        <w:spacing w:line="240" w:lineRule="auto"/>
        <w:sectPr w:rsidR="004D5F83" w:rsidRPr="00740BE6" w:rsidSect="00445A00">
          <w:headerReference w:type="default" r:id="rId8"/>
          <w:footerReference w:type="default" r:id="rId9"/>
          <w:footerReference w:type="first" r:id="rId10"/>
          <w:pgSz w:w="11907" w:h="16839" w:code="9"/>
          <w:pgMar w:top="1701" w:right="1701" w:bottom="1418" w:left="1985" w:header="1440" w:footer="1440" w:gutter="0"/>
          <w:pgNumType w:start="1"/>
          <w:cols w:space="720"/>
          <w:docGrid w:linePitch="254"/>
        </w:sectPr>
      </w:pPr>
      <w:r>
        <w:rPr>
          <w:sz w:val="24"/>
        </w:rPr>
        <w:fldChar w:fldCharType="end"/>
      </w:r>
    </w:p>
    <w:p w:rsidR="009569F6" w:rsidRPr="00740BE6" w:rsidRDefault="009569F6" w:rsidP="00EF6D32">
      <w:pPr>
        <w:pStyle w:val="Ttulo1"/>
        <w:spacing w:line="480" w:lineRule="auto"/>
      </w:pPr>
    </w:p>
    <w:p w:rsidR="009569F6" w:rsidRPr="00740BE6" w:rsidRDefault="009569F6" w:rsidP="00EF6D32">
      <w:pPr>
        <w:pStyle w:val="Ttulo1"/>
        <w:spacing w:line="480" w:lineRule="auto"/>
      </w:pPr>
    </w:p>
    <w:p w:rsidR="009569F6" w:rsidRPr="00740BE6" w:rsidRDefault="009569F6" w:rsidP="00EF6D32">
      <w:pPr>
        <w:pStyle w:val="Ttulo1"/>
        <w:spacing w:line="480" w:lineRule="auto"/>
      </w:pPr>
    </w:p>
    <w:p w:rsidR="009569F6" w:rsidRPr="00740BE6" w:rsidRDefault="009569F6" w:rsidP="00EF6D32">
      <w:pPr>
        <w:pStyle w:val="Ttulo1"/>
        <w:spacing w:line="480" w:lineRule="auto"/>
        <w:jc w:val="center"/>
        <w:rPr>
          <w:sz w:val="32"/>
          <w:szCs w:val="32"/>
        </w:rPr>
      </w:pPr>
    </w:p>
    <w:p w:rsidR="00EF6D32" w:rsidRPr="00740BE6" w:rsidRDefault="004D5F83" w:rsidP="000756D2">
      <w:pPr>
        <w:pStyle w:val="Ttulo1"/>
        <w:spacing w:before="2040" w:line="480" w:lineRule="auto"/>
        <w:jc w:val="center"/>
        <w:rPr>
          <w:sz w:val="32"/>
          <w:szCs w:val="32"/>
        </w:rPr>
      </w:pPr>
      <w:bookmarkStart w:id="0" w:name="_Toc518382533"/>
      <w:r w:rsidRPr="00740BE6">
        <w:rPr>
          <w:sz w:val="32"/>
          <w:szCs w:val="32"/>
        </w:rPr>
        <w:t>INTRODUCCIÓN</w:t>
      </w:r>
      <w:bookmarkEnd w:id="0"/>
    </w:p>
    <w:p w:rsidR="009569F6" w:rsidRPr="00740BE6" w:rsidRDefault="00EF6D32" w:rsidP="003D37CF">
      <w:pPr>
        <w:spacing w:before="1440"/>
        <w:rPr>
          <w:b/>
          <w:sz w:val="28"/>
          <w:szCs w:val="28"/>
        </w:rPr>
      </w:pPr>
      <w:r w:rsidRPr="00740BE6">
        <w:rPr>
          <w:szCs w:val="32"/>
        </w:rPr>
        <w:br w:type="page"/>
      </w:r>
      <w:r w:rsidR="009569F6" w:rsidRPr="00740BE6">
        <w:rPr>
          <w:b/>
          <w:sz w:val="28"/>
          <w:szCs w:val="28"/>
        </w:rPr>
        <w:lastRenderedPageBreak/>
        <w:t>INTRODUCCIÓN</w:t>
      </w:r>
    </w:p>
    <w:p w:rsidR="00EF6D32" w:rsidRPr="00740BE6" w:rsidRDefault="00EF6D32" w:rsidP="00EF6D32">
      <w:pPr>
        <w:spacing w:line="480" w:lineRule="auto"/>
      </w:pPr>
    </w:p>
    <w:p w:rsidR="008E4269" w:rsidRPr="00740BE6" w:rsidRDefault="00060B17" w:rsidP="00FB2DD5">
      <w:pPr>
        <w:pStyle w:val="Ttulo2"/>
        <w:spacing w:line="480" w:lineRule="auto"/>
        <w:rPr>
          <w:bCs/>
        </w:rPr>
      </w:pPr>
      <w:bookmarkStart w:id="1" w:name="_Toc518382534"/>
      <w:r w:rsidRPr="00740BE6">
        <w:rPr>
          <w:bCs/>
        </w:rPr>
        <w:t xml:space="preserve">1) </w:t>
      </w:r>
      <w:r w:rsidR="002A66BE" w:rsidRPr="00740BE6">
        <w:rPr>
          <w:bCs/>
        </w:rPr>
        <w:t>Contexto histórico social del objeto de estudio</w:t>
      </w:r>
      <w:r w:rsidR="00A66917">
        <w:rPr>
          <w:bCs/>
        </w:rPr>
        <w:t xml:space="preserve">. </w:t>
      </w:r>
      <w:r w:rsidR="008E4269" w:rsidRPr="00740BE6">
        <w:rPr>
          <w:bCs/>
        </w:rPr>
        <w:t>Antecedentes</w:t>
      </w:r>
      <w:bookmarkEnd w:id="1"/>
    </w:p>
    <w:p w:rsidR="00F847E6" w:rsidRDefault="00F847E6" w:rsidP="00F847E6">
      <w:pPr>
        <w:spacing w:line="480" w:lineRule="auto"/>
      </w:pPr>
      <w:r>
        <w:t xml:space="preserve">La cardiopatía isquémica (CI) es una de las enfermedades cardiovasculares de mayor mortalidad a nivel global. A pesar que sus tasas han descendido en países desarrollados en las últimas cuatro décadas se aprecia la prevalencia </w:t>
      </w:r>
    </w:p>
    <w:p w:rsidR="00F847E6" w:rsidRDefault="00F847E6" w:rsidP="00F847E6">
      <w:pPr>
        <w:spacing w:line="480" w:lineRule="auto"/>
      </w:pPr>
      <w:r>
        <w:t>de la enfermedad</w:t>
      </w:r>
      <w:r w:rsidR="00505F57">
        <w:t xml:space="preserve"> en sujetos mayores de 35 años.</w:t>
      </w:r>
      <w:r w:rsidR="00505F57" w:rsidRPr="00BF2799">
        <w:rPr>
          <w:vertAlign w:val="superscript"/>
          <w:lang w:val="es-ES_tradnl"/>
        </w:rPr>
        <w:t>1</w:t>
      </w:r>
      <w:r>
        <w:t xml:space="preserve"> </w:t>
      </w:r>
    </w:p>
    <w:p w:rsidR="00F847E6" w:rsidRDefault="00F847E6" w:rsidP="00F847E6">
      <w:pPr>
        <w:spacing w:line="480" w:lineRule="auto"/>
      </w:pPr>
      <w:r>
        <w:t xml:space="preserve">En los últimos 15 años, entre las principales causas de mortalidad en el mundo, según la Organización Mundial de la </w:t>
      </w:r>
      <w:r w:rsidRPr="005928BB">
        <w:t xml:space="preserve">Salud (OMS), está la CI. En el 2016 fue responsable de un total </w:t>
      </w:r>
      <w:r w:rsidR="00505F57" w:rsidRPr="005928BB">
        <w:t>de 9.4 millones de defunciones.</w:t>
      </w:r>
      <w:r w:rsidR="00505F57" w:rsidRPr="005928BB">
        <w:rPr>
          <w:vertAlign w:val="superscript"/>
          <w:lang w:val="es-ES_tradnl"/>
        </w:rPr>
        <w:t>2</w:t>
      </w:r>
      <w:r>
        <w:t xml:space="preserve"> </w:t>
      </w:r>
    </w:p>
    <w:p w:rsidR="00F847E6" w:rsidRDefault="00F847E6" w:rsidP="00F847E6">
      <w:pPr>
        <w:spacing w:line="480" w:lineRule="auto"/>
      </w:pPr>
      <w:r>
        <w:t>Por citar áreas geográficas con mayor mortalidad por CI tenemos al Pacífico Occidental, Europa y Asia Sudoriental. Con menores cifras de decesos tenemos a África, Mediter</w:t>
      </w:r>
      <w:r w:rsidR="00505F57">
        <w:t>ráneo Oriental y las Américas.</w:t>
      </w:r>
      <w:r w:rsidR="00505F57">
        <w:rPr>
          <w:vertAlign w:val="superscript"/>
          <w:lang w:val="es-ES_tradnl"/>
        </w:rPr>
        <w:t>2</w:t>
      </w:r>
    </w:p>
    <w:p w:rsidR="00F847E6" w:rsidRPr="005928BB" w:rsidRDefault="00F847E6" w:rsidP="00F847E6">
      <w:pPr>
        <w:spacing w:line="480" w:lineRule="auto"/>
      </w:pPr>
      <w:r>
        <w:t>En Europa acerca de unos 4 millones de personas mueren por enfermedades cardiovasculares, siendo la enfermedad arterial coronaria (EAC) su mayor causa de defunción. En la Unión Europea se reporta un aproximado de 1.9 millones de muertes por enfermedades cardiovasculares, predominando la enfermedad coronaria como principal causa. Esto conlleva a que el coste estimado para la prevención y tratamiento de la enfermedad cardiovascular isquémica sean cifras millonarias en los programas de salud en las diferentes regiones del orbe, donde se han desar</w:t>
      </w:r>
      <w:r w:rsidR="00505F57">
        <w:t>ro</w:t>
      </w:r>
      <w:r w:rsidR="00505F57" w:rsidRPr="005928BB">
        <w:t>llado en los últimos 40 años.</w:t>
      </w:r>
      <w:r w:rsidR="00505F57" w:rsidRPr="005928BB">
        <w:rPr>
          <w:vertAlign w:val="superscript"/>
          <w:lang w:val="es-ES_tradnl"/>
        </w:rPr>
        <w:t>1</w:t>
      </w:r>
      <w:r w:rsidRPr="005928BB">
        <w:t xml:space="preserve">    </w:t>
      </w:r>
    </w:p>
    <w:p w:rsidR="00F847E6" w:rsidRDefault="00F847E6" w:rsidP="00F847E6">
      <w:pPr>
        <w:spacing w:line="480" w:lineRule="auto"/>
      </w:pPr>
      <w:r w:rsidRPr="005928BB">
        <w:t>La Asociación Americana de Cardiología (AHA) en el 2014, informó</w:t>
      </w:r>
      <w:r>
        <w:t xml:space="preserve"> que en los Estados Unidos </w:t>
      </w:r>
      <w:r w:rsidRPr="005928BB">
        <w:t>unos 15.4 millones de</w:t>
      </w:r>
      <w:r>
        <w:t xml:space="preserve"> personas padecían de cardiopatía</w:t>
      </w:r>
      <w:r w:rsidR="00585461">
        <w:t xml:space="preserve"> </w:t>
      </w:r>
      <w:r>
        <w:t xml:space="preserve">isquémica siendo la población masculina la más afectada por múltiples </w:t>
      </w:r>
      <w:r w:rsidR="00505F57">
        <w:t>causas.</w:t>
      </w:r>
      <w:r w:rsidR="00505F57" w:rsidRPr="00BF2799">
        <w:rPr>
          <w:vertAlign w:val="superscript"/>
          <w:lang w:val="es-ES_tradnl"/>
        </w:rPr>
        <w:t>1</w:t>
      </w:r>
      <w:r>
        <w:t xml:space="preserve"> </w:t>
      </w:r>
    </w:p>
    <w:p w:rsidR="00F847E6" w:rsidRPr="005928BB" w:rsidRDefault="00F847E6" w:rsidP="00F847E6">
      <w:pPr>
        <w:spacing w:line="480" w:lineRule="auto"/>
      </w:pPr>
      <w:r>
        <w:lastRenderedPageBreak/>
        <w:t xml:space="preserve">En los países latinoamericanos la enfermedad coronaria es una de las principales causas de morbimortalidad; según los datos publicados por la </w:t>
      </w:r>
      <w:r w:rsidRPr="005928BB">
        <w:t xml:space="preserve">Organización Panamericana de la Salud, para el año 2010 la enfermedad isquémica del corazón fue la primera causa de mortalidad en adultos en las Américas, con el 13,3% de las muertes, por encima de la diabetes y la </w:t>
      </w:r>
      <w:r w:rsidR="00505F57" w:rsidRPr="005928BB">
        <w:t>enfermedad cerebrovascular.</w:t>
      </w:r>
      <w:r w:rsidR="00505F57" w:rsidRPr="005928BB">
        <w:rPr>
          <w:vertAlign w:val="superscript"/>
          <w:lang w:val="es-ES_tradnl"/>
        </w:rPr>
        <w:t>3</w:t>
      </w:r>
      <w:r w:rsidRPr="005928BB">
        <w:t xml:space="preserve"> </w:t>
      </w:r>
    </w:p>
    <w:p w:rsidR="00E12388" w:rsidRDefault="00E12388" w:rsidP="00E12388">
      <w:pPr>
        <w:spacing w:line="480" w:lineRule="auto"/>
      </w:pPr>
      <w:r>
        <w:t xml:space="preserve"> En Cuba se publicó en </w:t>
      </w:r>
      <w:r w:rsidRPr="005928BB">
        <w:t>e</w:t>
      </w:r>
      <w:r>
        <w:t xml:space="preserve">l Anuario Estadístico de Salud del 2019 </w:t>
      </w:r>
      <w:r w:rsidRPr="005928BB">
        <w:t xml:space="preserve">que 26 736 personas fallecieron </w:t>
      </w:r>
      <w:r>
        <w:t>por enfermedades del corazón. Entre ellos el</w:t>
      </w:r>
      <w:r w:rsidRPr="005928BB">
        <w:t xml:space="preserve"> 61,3% de las muertes ocurrieron por enfermedades isquémicas y dentro de estas</w:t>
      </w:r>
      <w:r>
        <w:t xml:space="preserve"> el 45,3 % por infarto agudo de</w:t>
      </w:r>
      <w:r w:rsidRPr="005928BB">
        <w:t xml:space="preserve"> miocardio. Del mismo</w:t>
      </w:r>
      <w:r>
        <w:t xml:space="preserve"> modo, la mortalidad por esta causa es mayor en edades avanzadas. En la Habana, el número de fallecidos ascendió a 6 119.</w:t>
      </w:r>
      <w:r w:rsidRPr="00505F57">
        <w:rPr>
          <w:vertAlign w:val="superscript"/>
          <w:lang w:val="es-ES_tradnl"/>
        </w:rPr>
        <w:t xml:space="preserve"> </w:t>
      </w:r>
      <w:r>
        <w:rPr>
          <w:vertAlign w:val="superscript"/>
          <w:lang w:val="es-ES_tradnl"/>
        </w:rPr>
        <w:t>3,4</w:t>
      </w:r>
      <w:r>
        <w:t xml:space="preserve"> </w:t>
      </w:r>
    </w:p>
    <w:p w:rsidR="00F847E6" w:rsidRDefault="00F847E6" w:rsidP="00F847E6">
      <w:pPr>
        <w:spacing w:line="480" w:lineRule="auto"/>
      </w:pPr>
      <w:r>
        <w:t xml:space="preserve">La cardiología nuclear tiene un protagonismo fundamental dentro de las técnicas de imagen no invasiva para la detección y estratificación </w:t>
      </w:r>
      <w:proofErr w:type="spellStart"/>
      <w:r>
        <w:t>pronóstica</w:t>
      </w:r>
      <w:proofErr w:type="spellEnd"/>
      <w:r>
        <w:t xml:space="preserve"> </w:t>
      </w:r>
      <w:r w:rsidR="00585461">
        <w:t xml:space="preserve">de </w:t>
      </w:r>
      <w:r>
        <w:t>pacientes con sospecha o diagnóstico de EAC. Actualmente la exploración más utilizada es la gammagrafía de perfusión miocárdica (GPM) con tomografía de emisión de fotón único (SPECT) que nos brinda la posibilidad de obtener imágenes de perfusión miocárdica. Este estudio sincronizado con la onda R del electrocardiograma (</w:t>
      </w:r>
      <w:proofErr w:type="spellStart"/>
      <w:r>
        <w:t>gated</w:t>
      </w:r>
      <w:proofErr w:type="spellEnd"/>
      <w:r>
        <w:t xml:space="preserve">-SPECT) nos permite estudiar en una misma exploración no solo el estado de la perfusión miocárdica, sino que se complementa con la función ventricular, dos aspectos decisivos en el diagnóstico y el pronóstico de la EAC, con una alta sensibilidad y especificidad </w:t>
      </w:r>
    </w:p>
    <w:p w:rsidR="00F847E6" w:rsidRDefault="00505F57" w:rsidP="00F847E6">
      <w:pPr>
        <w:spacing w:line="480" w:lineRule="auto"/>
      </w:pPr>
      <w:r>
        <w:t>(70-90%).</w:t>
      </w:r>
      <w:r>
        <w:rPr>
          <w:vertAlign w:val="superscript"/>
          <w:lang w:val="es-ES_tradnl"/>
        </w:rPr>
        <w:t>5,6,7,8</w:t>
      </w:r>
      <w:r w:rsidR="00F847E6">
        <w:t xml:space="preserve"> </w:t>
      </w:r>
    </w:p>
    <w:p w:rsidR="00F847E6" w:rsidRDefault="00F847E6" w:rsidP="00F847E6">
      <w:pPr>
        <w:spacing w:line="480" w:lineRule="auto"/>
      </w:pPr>
      <w:r>
        <w:lastRenderedPageBreak/>
        <w:t xml:space="preserve">La </w:t>
      </w:r>
      <w:proofErr w:type="spellStart"/>
      <w:r>
        <w:t>gated</w:t>
      </w:r>
      <w:proofErr w:type="spellEnd"/>
      <w:r>
        <w:t>-SPECT tiene su principal aplicación</w:t>
      </w:r>
      <w:r w:rsidR="00585461">
        <w:t xml:space="preserve"> en los pacientes que presentan </w:t>
      </w:r>
      <w:r>
        <w:t xml:space="preserve">probabilidad intermedia-alta de EAC, según su edad, sexo, síntomas, factores de riesgo cardiovascular. </w:t>
      </w:r>
      <w:r w:rsidR="00F7718C">
        <w:t>Numerosos estudios han demostrado el valor diagnóstico y pronóstico de los diferentes exámenes no invasivos</w:t>
      </w:r>
      <w:r w:rsidR="00505F57">
        <w:t>.</w:t>
      </w:r>
      <w:r w:rsidR="00505F57">
        <w:rPr>
          <w:vertAlign w:val="superscript"/>
          <w:lang w:val="es-ES_tradnl"/>
        </w:rPr>
        <w:t>5,9</w:t>
      </w:r>
      <w:r>
        <w:t xml:space="preserve"> </w:t>
      </w:r>
    </w:p>
    <w:p w:rsidR="00F847E6" w:rsidRDefault="00F847E6" w:rsidP="00F847E6">
      <w:pPr>
        <w:spacing w:line="480" w:lineRule="auto"/>
      </w:pPr>
      <w:r>
        <w:t>Las posibilidades actuales hacen posible elegir entre múltiples opciones de técnicas y protocolos de perfusión miocárdic</w:t>
      </w:r>
      <w:r w:rsidR="00585461">
        <w:t xml:space="preserve">a (estrés-reposo de dos días, e </w:t>
      </w:r>
      <w:r>
        <w:t>imágenes adquiridas en reposo), adquisición y procesamiento de las imágenes, en el campo del diagnóstico y pronóst</w:t>
      </w:r>
      <w:r w:rsidR="00E12388">
        <w:t>ico de la cardiopatía isquémica.</w:t>
      </w:r>
      <w:r w:rsidR="00505F57" w:rsidRPr="00505F57">
        <w:rPr>
          <w:vertAlign w:val="superscript"/>
          <w:lang w:val="es-ES_tradnl"/>
        </w:rPr>
        <w:t xml:space="preserve"> </w:t>
      </w:r>
      <w:r w:rsidR="00505F57">
        <w:rPr>
          <w:vertAlign w:val="superscript"/>
          <w:lang w:val="es-ES_tradnl"/>
        </w:rPr>
        <w:t>8,9,10</w:t>
      </w:r>
      <w:r>
        <w:t xml:space="preserve"> </w:t>
      </w:r>
    </w:p>
    <w:p w:rsidR="00F847E6" w:rsidRPr="00585461" w:rsidRDefault="00F847E6" w:rsidP="00F847E6">
      <w:pPr>
        <w:spacing w:line="480" w:lineRule="auto"/>
        <w:rPr>
          <w:b/>
        </w:rPr>
      </w:pPr>
      <w:r w:rsidRPr="00585461">
        <w:rPr>
          <w:b/>
        </w:rPr>
        <w:t xml:space="preserve">Antecedentes </w:t>
      </w:r>
    </w:p>
    <w:p w:rsidR="00F847E6" w:rsidRDefault="00F847E6" w:rsidP="00F847E6">
      <w:pPr>
        <w:spacing w:line="480" w:lineRule="auto"/>
      </w:pPr>
      <w:r>
        <w:t>La medicina nuclear es una especialidad médica que utiliza elementos radiactivos para el diagnóstico de enfermedades. Se visualizan imágenes bidimensionales y tridimensionales de los órganos por donde se distribuyó la molécula radioactiva. El fin de la misma es el estudio de procesos metabólicos o funcionales de tejidos</w:t>
      </w:r>
      <w:r w:rsidR="00505F57">
        <w:t xml:space="preserve"> y órganos.</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1</w:t>
      </w:r>
    </w:p>
    <w:p w:rsidR="00F847E6" w:rsidRDefault="00F847E6" w:rsidP="00F847E6">
      <w:pPr>
        <w:spacing w:line="480" w:lineRule="auto"/>
      </w:pPr>
      <w:r>
        <w:t xml:space="preserve">La historia de la Medicina Nuclear se remonta a finales del siglo XIX, cuando en 1895 </w:t>
      </w:r>
      <w:proofErr w:type="spellStart"/>
      <w:r>
        <w:t>Rôentgen</w:t>
      </w:r>
      <w:proofErr w:type="spellEnd"/>
      <w:r>
        <w:t xml:space="preserve"> describió los Rayos X y fundamentalmente los descubrimientos de la radioactividad del uranio en 1896 por Henri Becquerel y la radioactividad natural por Marie Curie en el mismo año. Luego en 1934</w:t>
      </w:r>
      <w:r w:rsidR="00585461">
        <w:t xml:space="preserve"> </w:t>
      </w:r>
      <w:r>
        <w:t xml:space="preserve">fue el descubrimiento de la radioactividad artificial por </w:t>
      </w:r>
      <w:proofErr w:type="spellStart"/>
      <w:r>
        <w:t>Frédéric</w:t>
      </w:r>
      <w:proofErr w:type="spellEnd"/>
      <w:r>
        <w:t xml:space="preserve"> Joliot-Curie e </w:t>
      </w:r>
      <w:proofErr w:type="spellStart"/>
      <w:r>
        <w:t>Iréne</w:t>
      </w:r>
      <w:proofErr w:type="spellEnd"/>
      <w:r>
        <w:t xml:space="preserve"> Joliot-Curie. El uso de radioisótopos de debe a George </w:t>
      </w:r>
      <w:proofErr w:type="spellStart"/>
      <w:r>
        <w:t>Hevensy</w:t>
      </w:r>
      <w:proofErr w:type="spellEnd"/>
      <w:r>
        <w:t>, quien en</w:t>
      </w:r>
      <w:r w:rsidRPr="00F847E6">
        <w:t xml:space="preserve"> </w:t>
      </w:r>
      <w:r w:rsidR="00585461">
        <w:t xml:space="preserve">1923 </w:t>
      </w:r>
      <w:r>
        <w:t>realizó la primera investigación biológica animal utilizando ratas. Dicha investigación demostró que la radioactividad proporciona una marca a través de los cuerpos, teniendo en 1939 sus primera</w:t>
      </w:r>
      <w:r w:rsidR="00505F57">
        <w:t>s aplicaciones terapéuticas.</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0,12,13</w:t>
      </w:r>
      <w:r>
        <w:t xml:space="preserve"> </w:t>
      </w:r>
    </w:p>
    <w:p w:rsidR="00F847E6" w:rsidRDefault="00F847E6" w:rsidP="00F847E6">
      <w:pPr>
        <w:spacing w:line="480" w:lineRule="auto"/>
      </w:pPr>
      <w:r>
        <w:lastRenderedPageBreak/>
        <w:t xml:space="preserve">La Medicina Nuclear inicia su desarrollo como especialidad a finales de los </w:t>
      </w:r>
      <w:r w:rsidR="00D17DCB">
        <w:t xml:space="preserve">años </w:t>
      </w:r>
      <w:r>
        <w:t xml:space="preserve">40, momento en el que se decide utilizar la energía nuclear con fines médicos. En 1946 constituye una fecha histórica, ya que se construye el primer reactor productor de radionúclidos y en 1952 el término "Medicina Nuclear" sustituye al de "Medicina Atómica" que se había empleado hasta </w:t>
      </w:r>
      <w:r w:rsidR="00505F57">
        <w:t>entonces.</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1,12,13</w:t>
      </w:r>
      <w:r>
        <w:t xml:space="preserve"> </w:t>
      </w:r>
    </w:p>
    <w:p w:rsidR="00F847E6" w:rsidRDefault="00F847E6" w:rsidP="00F847E6">
      <w:pPr>
        <w:spacing w:line="480" w:lineRule="auto"/>
      </w:pPr>
      <w:r>
        <w:t xml:space="preserve">Pero no fue hasta 1957 que el ingeniero electrónico </w:t>
      </w:r>
      <w:proofErr w:type="spellStart"/>
      <w:r>
        <w:t>Hal</w:t>
      </w:r>
      <w:proofErr w:type="spellEnd"/>
      <w:r>
        <w:t xml:space="preserve"> Oscar </w:t>
      </w:r>
      <w:proofErr w:type="spellStart"/>
      <w:r>
        <w:t>Anger</w:t>
      </w:r>
      <w:proofErr w:type="spellEnd"/>
      <w:r>
        <w:t xml:space="preserve"> concibió la </w:t>
      </w:r>
      <w:proofErr w:type="spellStart"/>
      <w:r>
        <w:t>gammacámara</w:t>
      </w:r>
      <w:proofErr w:type="spellEnd"/>
      <w:r>
        <w:t>, con la que se obtuvo una imagen prácticamente instantánea, en serie continua o selectiva. Además, posibilitó el registro de fenómenos dinámicos en el cuerpo humano. En la actualidad los nuevos equipos mantienen los mismos principios fí</w:t>
      </w:r>
      <w:r w:rsidR="00505F57">
        <w:t xml:space="preserve">sicos que la creada por </w:t>
      </w:r>
      <w:proofErr w:type="spellStart"/>
      <w:r w:rsidR="00505F57">
        <w:t>Anger</w:t>
      </w:r>
      <w:proofErr w:type="spellEnd"/>
      <w:r w:rsidR="00505F57">
        <w:t>.</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1</w:t>
      </w:r>
      <w:r>
        <w:t xml:space="preserve"> </w:t>
      </w:r>
    </w:p>
    <w:p w:rsidR="00A66917" w:rsidRDefault="00F847E6" w:rsidP="00F847E6">
      <w:pPr>
        <w:spacing w:line="480" w:lineRule="auto"/>
      </w:pPr>
      <w:r>
        <w:t xml:space="preserve">En 1962 fue la aparición de los generadores de Tecnecio-99, con cualidades idóneas como trazadores y posibilidades de unión a diversos fármacos. A partir de ese descubrimiento, varios investigadores encontraron diversas formas de obtener imágenes estáticas de órganos y sistemas anatómicos, por medio de inyecciones de radioisótopos y con el uso del </w:t>
      </w:r>
      <w:proofErr w:type="spellStart"/>
      <w:r>
        <w:t>centellógrafo</w:t>
      </w:r>
      <w:proofErr w:type="spellEnd"/>
      <w:r>
        <w:t xml:space="preserve">. Existen marcadores específicos para cada órgano, de tal manera que se pueden realizar estudios en distintas especialidades, como los estudios en </w:t>
      </w:r>
      <w:r w:rsidR="00505F57">
        <w:t>cardiología.</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1,12,13</w:t>
      </w:r>
    </w:p>
    <w:p w:rsidR="00F847E6" w:rsidRDefault="00F847E6" w:rsidP="00F847E6">
      <w:pPr>
        <w:spacing w:line="480" w:lineRule="auto"/>
      </w:pPr>
      <w:r>
        <w:t xml:space="preserve">En la década de 1970 la posibilidad de evaluar la perfusión miocárdica se hizo realidad como parte de los de los métodos </w:t>
      </w:r>
      <w:proofErr w:type="spellStart"/>
      <w:r>
        <w:t>imagenológicos</w:t>
      </w:r>
      <w:proofErr w:type="spellEnd"/>
      <w:r>
        <w:t xml:space="preserve"> no invasivos en la </w:t>
      </w:r>
      <w:r w:rsidR="00505F57">
        <w:t>cardiopatía isquémica.</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4</w:t>
      </w:r>
      <w:r>
        <w:t xml:space="preserve"> </w:t>
      </w:r>
    </w:p>
    <w:p w:rsidR="00F847E6" w:rsidRDefault="00F847E6" w:rsidP="00F847E6">
      <w:pPr>
        <w:spacing w:line="480" w:lineRule="auto"/>
      </w:pPr>
      <w:r>
        <w:t xml:space="preserve">El departamento de Medicina Nuclear en el Instituto de Cardiología y Cirugía Cardiovascular, en Cuba, se creó en 1987. Comenzó realizando estudios de perfusión miocárdica en esfuerzo y reposo, además de ventriculografía nuclear. En el año 2008 se instala una </w:t>
      </w:r>
      <w:proofErr w:type="spellStart"/>
      <w:r>
        <w:t>gammacámara</w:t>
      </w:r>
      <w:proofErr w:type="spellEnd"/>
      <w:r>
        <w:t xml:space="preserve"> para realizar SPECT, de doble </w:t>
      </w:r>
      <w:r>
        <w:lastRenderedPageBreak/>
        <w:t xml:space="preserve">cabezal que permite la realización de estudios </w:t>
      </w:r>
      <w:proofErr w:type="spellStart"/>
      <w:r>
        <w:t>tomográficos</w:t>
      </w:r>
      <w:proofErr w:type="spellEnd"/>
      <w:r>
        <w:t xml:space="preserve"> sincronizados con el electrocardiograma (ECG), con lo cual se eleva tanto la sensibilidad como especificidad en el diagnós</w:t>
      </w:r>
      <w:r w:rsidR="00505F57">
        <w:t xml:space="preserve">tico de enfermedad coronaria. </w:t>
      </w:r>
      <w:r w:rsidR="00505F57" w:rsidRPr="00BF2799">
        <w:rPr>
          <w:vertAlign w:val="superscript"/>
          <w:lang w:val="es-ES_tradnl"/>
        </w:rPr>
        <w:t>1</w:t>
      </w:r>
      <w:r w:rsidR="00505F57">
        <w:rPr>
          <w:vertAlign w:val="superscript"/>
          <w:lang w:val="es-ES_tradnl"/>
        </w:rPr>
        <w:t>5</w:t>
      </w:r>
      <w:r>
        <w:t xml:space="preserve"> </w:t>
      </w:r>
    </w:p>
    <w:p w:rsidR="00F847E6" w:rsidRDefault="00F847E6" w:rsidP="00F847E6">
      <w:pPr>
        <w:spacing w:line="480" w:lineRule="auto"/>
      </w:pPr>
      <w:r>
        <w:t xml:space="preserve">En nuestro hospital, Centro de Investigaciones Médico Quirúrgica, el departamento de Medicina Nuclear retomó los estudios de gammagrafía de perfusión miocárdica en el 2015. Con excelentes resultados en la investigación de la enfermedad arterial coronaria y sus consecuencias. </w:t>
      </w:r>
    </w:p>
    <w:p w:rsidR="00F847E6" w:rsidRDefault="00F847E6" w:rsidP="00F847E6">
      <w:pPr>
        <w:spacing w:line="480" w:lineRule="auto"/>
      </w:pPr>
      <w:r>
        <w:t xml:space="preserve">La Cardiología Nuclear en Cuba se ha desarrollado con el apoyo del Sistema Nacional de Salud Pública y al Organismo Internacional de Energía Atómica(OIEA), este último brindando su colaboración en los últimos 8 años. </w:t>
      </w:r>
    </w:p>
    <w:p w:rsidR="00F847E6" w:rsidRDefault="00F847E6" w:rsidP="00F847E6">
      <w:pPr>
        <w:spacing w:line="480" w:lineRule="auto"/>
      </w:pPr>
      <w:r>
        <w:t>Con la elaboración del proyecto de cooperación técnica “Fortalecimiento de la cardiología nuclear en Cuba para el diagnóstico y tratamiento de pacientes con enfermedad coronaria”. Con la utilización de estas técnicas novedosas, los radiofármacos y las imágenes de perfusión miocárdica el diagnóstico, seguimiento y pronóstico de la cardiopatía isquémica alcanza</w:t>
      </w:r>
      <w:r w:rsidR="00505F57">
        <w:t>n mayor valor.</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6</w:t>
      </w:r>
    </w:p>
    <w:p w:rsidR="00F847E6" w:rsidRPr="00740BE6" w:rsidRDefault="00F847E6" w:rsidP="00F847E6">
      <w:pPr>
        <w:spacing w:line="480" w:lineRule="auto"/>
      </w:pPr>
      <w:r>
        <w:t>Con el paso de los años, la gammagrafía de perfusión miocárdica, desde sus inicios hasta la actualidad se ha ido modernizando sus protocolos de actuación y se han descubierto nuevas propiedades en sus radiofármacos. Con la consiguiente actualización de sus técnicas de imágenes pone de manifiesto su vital aporte al estudi</w:t>
      </w:r>
      <w:r w:rsidR="00505F57">
        <w:t>o de la cardiopatía coronaria.</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4</w:t>
      </w:r>
    </w:p>
    <w:p w:rsidR="00A2417E" w:rsidRPr="00740BE6" w:rsidRDefault="00A66917" w:rsidP="00FB2DD5">
      <w:pPr>
        <w:pStyle w:val="Ttulo2"/>
        <w:spacing w:line="480" w:lineRule="auto"/>
        <w:rPr>
          <w:bCs/>
        </w:rPr>
      </w:pPr>
      <w:bookmarkStart w:id="2" w:name="_Toc518382535"/>
      <w:r>
        <w:rPr>
          <w:bCs/>
        </w:rPr>
        <w:t>2</w:t>
      </w:r>
      <w:r w:rsidR="00060B17" w:rsidRPr="00740BE6">
        <w:rPr>
          <w:bCs/>
        </w:rPr>
        <w:t xml:space="preserve">) </w:t>
      </w:r>
      <w:r w:rsidR="00A2417E" w:rsidRPr="00740BE6">
        <w:rPr>
          <w:bCs/>
        </w:rPr>
        <w:t>Justificación</w:t>
      </w:r>
      <w:bookmarkEnd w:id="2"/>
    </w:p>
    <w:p w:rsidR="00505F57" w:rsidRDefault="00F847E6" w:rsidP="00F847E6">
      <w:pPr>
        <w:spacing w:line="480" w:lineRule="auto"/>
      </w:pPr>
      <w:r>
        <w:t>La cardiopatía isquémica es entre las enfermedades cardiovasculares la de mayor incide</w:t>
      </w:r>
      <w:r w:rsidR="00505F57">
        <w:t>ncia y mortalidad en el mundo.</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,2</w:t>
      </w:r>
      <w:r>
        <w:t xml:space="preserve"> En nuestro país ha tenido el mismo comportamiento a pesar de los m</w:t>
      </w:r>
      <w:r w:rsidR="00505F57">
        <w:t>últiples programas de salud.</w:t>
      </w:r>
      <w:r w:rsidR="00505F57" w:rsidRPr="00505F57">
        <w:rPr>
          <w:vertAlign w:val="superscript"/>
          <w:lang w:val="es-ES_tradnl"/>
        </w:rPr>
        <w:t xml:space="preserve"> </w:t>
      </w:r>
      <w:r w:rsidR="00505F57">
        <w:rPr>
          <w:vertAlign w:val="superscript"/>
          <w:lang w:val="es-ES_tradnl"/>
        </w:rPr>
        <w:t>2,4</w:t>
      </w:r>
      <w:r>
        <w:t xml:space="preserve"> </w:t>
      </w:r>
    </w:p>
    <w:p w:rsidR="00F847E6" w:rsidRDefault="00F847E6" w:rsidP="00F847E6">
      <w:pPr>
        <w:spacing w:line="480" w:lineRule="auto"/>
      </w:pPr>
      <w:r>
        <w:lastRenderedPageBreak/>
        <w:t>S</w:t>
      </w:r>
      <w:r w:rsidR="00D31242">
        <w:t>us diversos factores de riesgos</w:t>
      </w:r>
      <w:r>
        <w:t xml:space="preserve"> hacen que la enfermedad progrese en ocas</w:t>
      </w:r>
      <w:r w:rsidR="00505F57">
        <w:t>iones de manera algo acelerada.</w:t>
      </w:r>
      <w:r w:rsidR="00505F57" w:rsidRPr="00505F57">
        <w:rPr>
          <w:vertAlign w:val="superscript"/>
          <w:lang w:val="es-ES_tradnl"/>
        </w:rPr>
        <w:t xml:space="preserve"> </w:t>
      </w:r>
      <w:r w:rsidR="00505F57" w:rsidRPr="00BF2799">
        <w:rPr>
          <w:vertAlign w:val="superscript"/>
          <w:lang w:val="es-ES_tradnl"/>
        </w:rPr>
        <w:t>1</w:t>
      </w:r>
      <w:r>
        <w:t xml:space="preserve"> En la fisiopatología de la isquemia miocárdica se demuestra como la diminución de la perfusión sanguínea al tejido miocárdico afecta en primera instancia la función diastólica ventricular y posteriormente</w:t>
      </w:r>
      <w:r w:rsidR="00E12388">
        <w:t xml:space="preserve"> la sistólica. En un tercer momento</w:t>
      </w:r>
      <w:r>
        <w:t xml:space="preserve"> aparece el dolor anginoso y finalmente las alteraciones en el electrocardiograma. Esta secuencia explica por qué las técnicas de imagen basadas en la perfusión miocárdica, son más sensibles que el ECG o los síntomas para la detección de isquemia. De ahí la importancia de su indicación en pacientes con riesgo pre-test intermedio-alto (15–85%) de padecer enfermedad arterial coronaria, como lo recomiendan las guías de cardiopatía </w:t>
      </w:r>
      <w:r w:rsidR="00505F57">
        <w:t>isquémica, revascularización miocárdica y medicina nuclear.</w:t>
      </w:r>
      <w:r w:rsidR="00505F57" w:rsidRPr="00BF2799">
        <w:rPr>
          <w:vertAlign w:val="superscript"/>
          <w:lang w:val="es-ES_tradnl"/>
        </w:rPr>
        <w:t>1</w:t>
      </w:r>
      <w:r w:rsidR="00505F57">
        <w:rPr>
          <w:vertAlign w:val="superscript"/>
          <w:lang w:val="es-ES_tradnl"/>
        </w:rPr>
        <w:t>7,18,19</w:t>
      </w:r>
    </w:p>
    <w:p w:rsidR="00F847E6" w:rsidRDefault="00F847E6" w:rsidP="00F847E6">
      <w:pPr>
        <w:spacing w:line="480" w:lineRule="auto"/>
      </w:pPr>
      <w:r>
        <w:t>Con el empleo de la perfusión miocárdica mediante la SPECT, como método diagnóstico no invasivo para detectar isquemia y/o viabilidad miocárdica, se puede diferenciar a los pacientes con resu</w:t>
      </w:r>
      <w:r w:rsidR="00832731">
        <w:t>ltados normales de aquellos con</w:t>
      </w:r>
      <w:r w:rsidR="006B1E6A">
        <w:t xml:space="preserve"> isquemia demostrada. </w:t>
      </w:r>
      <w:r>
        <w:t xml:space="preserve"> </w:t>
      </w:r>
      <w:r w:rsidR="006B1E6A">
        <w:t>A la vez de brindar un diagnóstico certero, orientación en la decisión de una conducta terapéutica y ofrece variables que pueden predecir un pronóstico a corto y largo plazo</w:t>
      </w:r>
      <w:r w:rsidR="00505F57">
        <w:t>.</w:t>
      </w:r>
      <w:r w:rsidR="00505F57" w:rsidRPr="00505F57">
        <w:rPr>
          <w:vertAlign w:val="superscript"/>
          <w:lang w:val="es-ES_tradnl"/>
        </w:rPr>
        <w:t xml:space="preserve"> </w:t>
      </w:r>
      <w:r w:rsidR="00505F57" w:rsidRPr="00BF2799">
        <w:rPr>
          <w:vertAlign w:val="superscript"/>
          <w:lang w:val="es-ES_tradnl"/>
        </w:rPr>
        <w:t>1</w:t>
      </w:r>
      <w:r w:rsidR="00505F57">
        <w:rPr>
          <w:vertAlign w:val="superscript"/>
          <w:lang w:val="es-ES_tradnl"/>
        </w:rPr>
        <w:t>7,18</w:t>
      </w:r>
    </w:p>
    <w:p w:rsidR="006B1E6A" w:rsidRDefault="006B1E6A" w:rsidP="006B1E6A">
      <w:pPr>
        <w:spacing w:line="480" w:lineRule="auto"/>
      </w:pPr>
      <w:r>
        <w:t xml:space="preserve"> De esta manera no es necesario realizar el diagnóstico de cardiopatía isquémica a la totalidad de los pacientes por </w:t>
      </w:r>
      <w:proofErr w:type="spellStart"/>
      <w:r>
        <w:t>coronariografía</w:t>
      </w:r>
      <w:proofErr w:type="spellEnd"/>
      <w:r>
        <w:t xml:space="preserve"> invasiva. A pesar de ser el Gold Estándar para su diagnóstico, le reporta al paciente un mayor riesgo durante su realización, por ser una técnica de diagnóstico muy invasiva, pudiéndose demostrar la isquemia miocárdica sugestiva a enfermedad arterial coronario por técnicas menos invasivas, con total certeza y seguridad.</w:t>
      </w:r>
    </w:p>
    <w:p w:rsidR="006B1E6A" w:rsidRDefault="006B1E6A" w:rsidP="006B1E6A">
      <w:pPr>
        <w:spacing w:line="480" w:lineRule="auto"/>
      </w:pPr>
      <w:r>
        <w:lastRenderedPageBreak/>
        <w:t>Otro dato relevante son las variables que forman parte del informe de perfusión miocárdica acerca de la función del corazón y zonas de isquemia, permitiendo dar un pronóstico de la posibilidad de desarrollar eventos isquémicos cardiacos futuros y su severidad, en un corto y largo plazo.</w:t>
      </w:r>
    </w:p>
    <w:p w:rsidR="006B1E6A" w:rsidRDefault="006B1E6A" w:rsidP="006B1E6A">
      <w:pPr>
        <w:spacing w:line="480" w:lineRule="auto"/>
      </w:pPr>
      <w:r>
        <w:t xml:space="preserve">Teniendo en cuenta lo anteriormente expuesto, con este trabajo pretendemos demostrar la </w:t>
      </w:r>
      <w:r w:rsidRPr="00022047">
        <w:t>utilidad de</w:t>
      </w:r>
      <w:r>
        <w:t xml:space="preserve"> la perfusión miocárdica en el diagnóstico de isquemia cardiaca y su valor pronóstico en la posible aparición de eventos isquémicos futuros en los pacientes.  </w:t>
      </w:r>
    </w:p>
    <w:p w:rsidR="00A35246" w:rsidRPr="00740BE6" w:rsidRDefault="00A66917" w:rsidP="00FB2DD5">
      <w:pPr>
        <w:pStyle w:val="Ttulo2"/>
        <w:spacing w:line="480" w:lineRule="auto"/>
        <w:rPr>
          <w:bCs/>
        </w:rPr>
      </w:pPr>
      <w:bookmarkStart w:id="3" w:name="_Toc355360604"/>
      <w:bookmarkStart w:id="4" w:name="_Toc355361452"/>
      <w:bookmarkStart w:id="5" w:name="_Toc518382536"/>
      <w:r>
        <w:rPr>
          <w:bCs/>
        </w:rPr>
        <w:t>3</w:t>
      </w:r>
      <w:r w:rsidR="00060B17" w:rsidRPr="00740BE6">
        <w:rPr>
          <w:bCs/>
        </w:rPr>
        <w:t xml:space="preserve">) </w:t>
      </w:r>
      <w:r w:rsidR="00A35246" w:rsidRPr="00740BE6">
        <w:rPr>
          <w:bCs/>
        </w:rPr>
        <w:t>Problema</w:t>
      </w:r>
      <w:bookmarkEnd w:id="3"/>
      <w:bookmarkEnd w:id="4"/>
      <w:bookmarkEnd w:id="5"/>
      <w:r w:rsidR="00E23280">
        <w:rPr>
          <w:bCs/>
        </w:rPr>
        <w:t xml:space="preserve"> científico:</w:t>
      </w:r>
    </w:p>
    <w:p w:rsidR="00F847E6" w:rsidRDefault="00F847E6" w:rsidP="00F847E6">
      <w:pPr>
        <w:spacing w:line="480" w:lineRule="auto"/>
      </w:pPr>
      <w:r>
        <w:t xml:space="preserve">¿Cuál será el valor que tiene la gammagrafía de perfusión en la cardiopatía </w:t>
      </w:r>
    </w:p>
    <w:p w:rsidR="00CD10EF" w:rsidRPr="00740BE6" w:rsidRDefault="00F847E6" w:rsidP="00B50180">
      <w:pPr>
        <w:spacing w:line="480" w:lineRule="auto"/>
      </w:pPr>
      <w:r>
        <w:t>isquémica?</w:t>
      </w:r>
    </w:p>
    <w:p w:rsidR="00F87711" w:rsidRPr="00740BE6" w:rsidRDefault="00832731" w:rsidP="00832731">
      <w:pPr>
        <w:pStyle w:val="Ttulo2"/>
        <w:spacing w:line="480" w:lineRule="auto"/>
        <w:rPr>
          <w:bCs/>
        </w:rPr>
      </w:pPr>
      <w:bookmarkStart w:id="6" w:name="_Toc518382538"/>
      <w:r>
        <w:rPr>
          <w:bCs/>
        </w:rPr>
        <w:t>4</w:t>
      </w:r>
      <w:r w:rsidR="00F87711" w:rsidRPr="00740BE6">
        <w:rPr>
          <w:bCs/>
        </w:rPr>
        <w:t>) Objetivos</w:t>
      </w:r>
      <w:bookmarkEnd w:id="6"/>
    </w:p>
    <w:p w:rsidR="00F87711" w:rsidRPr="00740BE6" w:rsidRDefault="006B1E6A" w:rsidP="00EF6D32">
      <w:pPr>
        <w:spacing w:line="480" w:lineRule="auto"/>
        <w:rPr>
          <w:b/>
        </w:rPr>
      </w:pPr>
      <w:r>
        <w:rPr>
          <w:b/>
        </w:rPr>
        <w:t>Objetivo General:</w:t>
      </w:r>
    </w:p>
    <w:p w:rsidR="00F847E6" w:rsidRDefault="006B1E6A" w:rsidP="00F847E6">
      <w:pPr>
        <w:spacing w:line="480" w:lineRule="auto"/>
      </w:pPr>
      <w:r>
        <w:t>Demostrar</w:t>
      </w:r>
      <w:r w:rsidR="00F847E6">
        <w:t xml:space="preserve"> el valor de la gammagrafía de perfusión miocárdica en la cardiopatía </w:t>
      </w:r>
    </w:p>
    <w:p w:rsidR="00F87711" w:rsidRPr="00740BE6" w:rsidRDefault="00F847E6" w:rsidP="00EF6D32">
      <w:pPr>
        <w:spacing w:line="480" w:lineRule="auto"/>
      </w:pPr>
      <w:r>
        <w:t>isquémica.</w:t>
      </w:r>
    </w:p>
    <w:p w:rsidR="00F87711" w:rsidRPr="00740BE6" w:rsidRDefault="00F87711" w:rsidP="00832731">
      <w:pPr>
        <w:spacing w:line="480" w:lineRule="auto"/>
        <w:rPr>
          <w:b/>
        </w:rPr>
      </w:pPr>
      <w:r w:rsidRPr="00740BE6">
        <w:rPr>
          <w:b/>
        </w:rPr>
        <w:t>Objetivos Específicos:</w:t>
      </w:r>
    </w:p>
    <w:p w:rsidR="006B1E6A" w:rsidRDefault="006B1E6A" w:rsidP="006B1E6A">
      <w:pPr>
        <w:pStyle w:val="Prrafodelista"/>
        <w:numPr>
          <w:ilvl w:val="0"/>
          <w:numId w:val="44"/>
        </w:numPr>
        <w:spacing w:line="480" w:lineRule="auto"/>
      </w:pPr>
      <w:r>
        <w:t xml:space="preserve"> </w:t>
      </w:r>
      <w:r w:rsidRPr="007E654E">
        <w:t>De</w:t>
      </w:r>
      <w:r w:rsidRPr="00022047">
        <w:t xml:space="preserve">scribir </w:t>
      </w:r>
      <w:r>
        <w:t>las características clínico-demográf</w:t>
      </w:r>
      <w:r w:rsidR="005E1FA6">
        <w:t>icas de los pacientes</w:t>
      </w:r>
      <w:r>
        <w:t xml:space="preserve">.  </w:t>
      </w:r>
    </w:p>
    <w:p w:rsidR="006B1E6A" w:rsidRPr="00BB6225" w:rsidRDefault="00BB6225" w:rsidP="006B1E6A">
      <w:pPr>
        <w:pStyle w:val="Prrafodelista"/>
        <w:numPr>
          <w:ilvl w:val="0"/>
          <w:numId w:val="44"/>
        </w:numPr>
        <w:spacing w:line="480" w:lineRule="auto"/>
      </w:pPr>
      <w:r>
        <w:t>Clasificar el tipo de estrés para detectar la isquemia utilizado en cada paciente según sus características clínicas</w:t>
      </w:r>
      <w:r w:rsidR="006B1E6A" w:rsidRPr="00BB6225">
        <w:t xml:space="preserve">.  </w:t>
      </w:r>
    </w:p>
    <w:p w:rsidR="00F87711" w:rsidRPr="00740BE6" w:rsidRDefault="006B1E6A" w:rsidP="006B1E6A">
      <w:pPr>
        <w:pStyle w:val="Prrafodelista"/>
        <w:numPr>
          <w:ilvl w:val="0"/>
          <w:numId w:val="44"/>
        </w:numPr>
        <w:spacing w:line="480" w:lineRule="auto"/>
      </w:pPr>
      <w:r w:rsidRPr="00022047">
        <w:t xml:space="preserve">Establecer una relación </w:t>
      </w:r>
      <w:r>
        <w:t>d</w:t>
      </w:r>
      <w:r w:rsidRPr="007E654E">
        <w:t>el</w:t>
      </w:r>
      <w:r>
        <w:t xml:space="preserve"> resultado de la gammagrafía de perfusión miocárdica con las variables clínicas, la </w:t>
      </w:r>
      <w:proofErr w:type="spellStart"/>
      <w:r>
        <w:t>coronariografía</w:t>
      </w:r>
      <w:proofErr w:type="spellEnd"/>
      <w:r>
        <w:t xml:space="preserve"> y la evolución clínica al año de realizada la perfusión miocárdica.</w:t>
      </w:r>
    </w:p>
    <w:p w:rsidR="005230DB" w:rsidRPr="005230DB" w:rsidRDefault="005230DB" w:rsidP="005230DB">
      <w:pPr>
        <w:spacing w:line="480" w:lineRule="auto"/>
      </w:pPr>
    </w:p>
    <w:p w:rsidR="00867272" w:rsidRPr="00740BE6" w:rsidRDefault="00A66917" w:rsidP="00867272">
      <w:pPr>
        <w:pStyle w:val="Ttulo2"/>
        <w:spacing w:line="480" w:lineRule="auto"/>
        <w:rPr>
          <w:bCs/>
        </w:rPr>
      </w:pPr>
      <w:bookmarkStart w:id="7" w:name="_Toc518382539"/>
      <w:r>
        <w:rPr>
          <w:bCs/>
        </w:rPr>
        <w:lastRenderedPageBreak/>
        <w:t>6</w:t>
      </w:r>
      <w:r w:rsidR="00867272" w:rsidRPr="00740BE6">
        <w:rPr>
          <w:bCs/>
        </w:rPr>
        <w:t>) Novedad científica del estudio</w:t>
      </w:r>
      <w:bookmarkEnd w:id="7"/>
    </w:p>
    <w:p w:rsidR="005B54F8" w:rsidRPr="00510F60" w:rsidRDefault="005B54F8" w:rsidP="005B54F8">
      <w:pPr>
        <w:spacing w:line="360" w:lineRule="auto"/>
      </w:pPr>
      <w:r w:rsidRPr="00510F60">
        <w:t>La GPM es un estudio de imagen no invasiva que ofrece un alto porcentaje de veracidad en cuanto al diagnóstico de la cardiopatía isquémica. A su vez, es capaz de emitir un grupo de información sobre la función cardiaca, zonas de isquemia, presencia de células potencialmente viables o no después de eventos isquémicos y que pueden ser solucionables por técnicas de revascularización.</w:t>
      </w:r>
    </w:p>
    <w:p w:rsidR="005B54F8" w:rsidRPr="00510F60" w:rsidRDefault="005B54F8" w:rsidP="005B54F8">
      <w:pPr>
        <w:spacing w:line="360" w:lineRule="auto"/>
      </w:pPr>
      <w:r w:rsidRPr="00510F60">
        <w:t xml:space="preserve">Para que la GPM adquiera un mayor valor en su indicación se debe tener presente diferentes aspectos que nos guían a una indicación apropiada del estudio. En estos están presentes de forma negativa en la salud cardiovascular los factores de riesgos </w:t>
      </w:r>
      <w:proofErr w:type="spellStart"/>
      <w:r w:rsidRPr="00510F60">
        <w:t>aterogénicos</w:t>
      </w:r>
      <w:proofErr w:type="spellEnd"/>
      <w:r w:rsidRPr="00510F60">
        <w:t>, la forma en manifestarse los síntomas asociados con isquemia miocárdica en cada paciente y como deben ser valorados los exámenes de provocación de isquemia en este grupo de pacientes.</w:t>
      </w:r>
    </w:p>
    <w:p w:rsidR="00831785" w:rsidRPr="00510F60" w:rsidRDefault="00831785" w:rsidP="00831785">
      <w:pPr>
        <w:spacing w:line="360" w:lineRule="auto"/>
      </w:pPr>
      <w:r>
        <w:t xml:space="preserve"> </w:t>
      </w:r>
      <w:r w:rsidRPr="00510F60">
        <w:t>Con los anterior expuesto intentamos demostrar los aspectos novedosos que puede brindar el estudio de imagen no invasiv</w:t>
      </w:r>
      <w:r>
        <w:t>a</w:t>
      </w:r>
      <w:r w:rsidRPr="00510F60">
        <w:t xml:space="preserve"> para la detección de isquemia y </w:t>
      </w:r>
      <w:r>
        <w:t>según su resultado poder tener variables pronósticos que puedan brindar una mejor or</w:t>
      </w:r>
      <w:r w:rsidRPr="00510F60">
        <w:t xml:space="preserve">ientación en cuanto a </w:t>
      </w:r>
      <w:r>
        <w:t>la</w:t>
      </w:r>
      <w:r w:rsidRPr="00510F60">
        <w:t xml:space="preserve"> terapéutica</w:t>
      </w:r>
      <w:r>
        <w:t xml:space="preserve"> y predicción de eventos isquémicos futuros.</w:t>
      </w:r>
    </w:p>
    <w:p w:rsidR="005B54F8" w:rsidRPr="00510F60" w:rsidRDefault="005B54F8" w:rsidP="005B54F8">
      <w:pPr>
        <w:spacing w:line="360" w:lineRule="auto"/>
      </w:pPr>
    </w:p>
    <w:p w:rsidR="00867272" w:rsidRPr="00740BE6" w:rsidRDefault="00867272" w:rsidP="00867272">
      <w:pPr>
        <w:spacing w:line="480" w:lineRule="auto"/>
      </w:pPr>
    </w:p>
    <w:p w:rsidR="00867272" w:rsidRPr="00740BE6" w:rsidRDefault="00867272" w:rsidP="00B50180">
      <w:pPr>
        <w:spacing w:line="480" w:lineRule="auto"/>
      </w:pPr>
    </w:p>
    <w:p w:rsidR="002E2204" w:rsidRPr="00740BE6" w:rsidRDefault="00282824" w:rsidP="00B50180">
      <w:pPr>
        <w:spacing w:line="480" w:lineRule="auto"/>
      </w:pPr>
      <w:r w:rsidRPr="00740BE6">
        <w:br w:type="page"/>
      </w:r>
    </w:p>
    <w:p w:rsidR="002E2204" w:rsidRPr="00740BE6" w:rsidRDefault="002E2204" w:rsidP="00EF6D32">
      <w:pPr>
        <w:pStyle w:val="Ttulo1"/>
        <w:spacing w:line="480" w:lineRule="auto"/>
      </w:pPr>
    </w:p>
    <w:p w:rsidR="002E2204" w:rsidRPr="00740BE6" w:rsidRDefault="002E2204" w:rsidP="00EF6D32">
      <w:pPr>
        <w:pStyle w:val="Ttulo1"/>
        <w:spacing w:line="480" w:lineRule="auto"/>
      </w:pPr>
    </w:p>
    <w:p w:rsidR="002E2204" w:rsidRPr="00740BE6" w:rsidRDefault="002E2204" w:rsidP="00EF6D32">
      <w:pPr>
        <w:pStyle w:val="Ttulo1"/>
        <w:spacing w:line="480" w:lineRule="auto"/>
        <w:jc w:val="center"/>
        <w:rPr>
          <w:sz w:val="32"/>
          <w:szCs w:val="32"/>
        </w:rPr>
      </w:pPr>
    </w:p>
    <w:p w:rsidR="002E2204" w:rsidRPr="00740BE6" w:rsidRDefault="0036129C" w:rsidP="000756D2">
      <w:pPr>
        <w:pStyle w:val="Ttulo1"/>
        <w:spacing w:before="2040" w:line="480" w:lineRule="auto"/>
        <w:jc w:val="center"/>
        <w:rPr>
          <w:sz w:val="32"/>
          <w:szCs w:val="32"/>
        </w:rPr>
      </w:pPr>
      <w:bookmarkStart w:id="8" w:name="_Toc518382540"/>
      <w:r w:rsidRPr="00740BE6">
        <w:rPr>
          <w:sz w:val="32"/>
          <w:szCs w:val="32"/>
          <w:lang w:val="pt-BR"/>
        </w:rPr>
        <w:t>I.</w:t>
      </w:r>
      <w:r w:rsidR="002E2204" w:rsidRPr="00740BE6">
        <w:rPr>
          <w:sz w:val="32"/>
          <w:szCs w:val="32"/>
          <w:lang w:val="pt-BR"/>
        </w:rPr>
        <w:t xml:space="preserve"> CAPÍTULO</w:t>
      </w:r>
      <w:r w:rsidR="00D002E6" w:rsidRPr="00740BE6">
        <w:rPr>
          <w:sz w:val="32"/>
          <w:szCs w:val="32"/>
          <w:lang w:val="pt-BR"/>
        </w:rPr>
        <w:t xml:space="preserve">: </w:t>
      </w:r>
      <w:r w:rsidR="002E2204" w:rsidRPr="00740BE6">
        <w:rPr>
          <w:sz w:val="32"/>
          <w:szCs w:val="32"/>
        </w:rPr>
        <w:t>MARCO TEÓRICO</w:t>
      </w:r>
      <w:bookmarkEnd w:id="8"/>
    </w:p>
    <w:p w:rsidR="00C051D9" w:rsidRPr="00740BE6" w:rsidRDefault="002E2204" w:rsidP="003D37CF">
      <w:pPr>
        <w:spacing w:before="1440" w:line="480" w:lineRule="auto"/>
        <w:rPr>
          <w:b/>
          <w:u w:val="single"/>
        </w:rPr>
      </w:pPr>
      <w:r w:rsidRPr="00740BE6">
        <w:rPr>
          <w:lang w:val="pt-BR"/>
        </w:rPr>
        <w:br w:type="page"/>
      </w:r>
      <w:r w:rsidR="00F87711" w:rsidRPr="00740BE6">
        <w:rPr>
          <w:b/>
          <w:u w:val="single"/>
        </w:rPr>
        <w:lastRenderedPageBreak/>
        <w:t>1</w:t>
      </w:r>
      <w:r w:rsidR="00F87711" w:rsidRPr="00740BE6">
        <w:rPr>
          <w:b/>
          <w:u w:val="single"/>
          <w:vertAlign w:val="superscript"/>
        </w:rPr>
        <w:t>er</w:t>
      </w:r>
      <w:r w:rsidR="00C051D9" w:rsidRPr="00740BE6">
        <w:rPr>
          <w:b/>
          <w:u w:val="single"/>
        </w:rPr>
        <w:t xml:space="preserve"> CAPÍTULO</w:t>
      </w:r>
      <w:r w:rsidR="00C051D9" w:rsidRPr="00740BE6">
        <w:rPr>
          <w:b/>
        </w:rPr>
        <w:t xml:space="preserve">: </w:t>
      </w:r>
      <w:r w:rsidR="0036129C" w:rsidRPr="00740BE6">
        <w:rPr>
          <w:rStyle w:val="Ttulo2Car"/>
        </w:rPr>
        <w:t>MARCO TEÓ</w:t>
      </w:r>
      <w:r w:rsidR="00C051D9" w:rsidRPr="00740BE6">
        <w:rPr>
          <w:rStyle w:val="Ttulo2Car"/>
        </w:rPr>
        <w:t>RICO</w:t>
      </w:r>
    </w:p>
    <w:p w:rsidR="000773A3" w:rsidRPr="00BF2799" w:rsidRDefault="000773A3" w:rsidP="000773A3">
      <w:pPr>
        <w:spacing w:line="480" w:lineRule="auto"/>
        <w:rPr>
          <w:b/>
          <w:bCs/>
        </w:rPr>
      </w:pPr>
      <w:r w:rsidRPr="00BF2799">
        <w:rPr>
          <w:b/>
        </w:rPr>
        <w:t>1.1 Cardiopatía Isquémica. Definición.</w:t>
      </w:r>
    </w:p>
    <w:p w:rsidR="000773A3" w:rsidRPr="00BF2799" w:rsidRDefault="000773A3" w:rsidP="000773A3">
      <w:pPr>
        <w:spacing w:line="480" w:lineRule="auto"/>
      </w:pPr>
      <w:r w:rsidRPr="00BF2799">
        <w:t xml:space="preserve">La CI es una enfermedad cardiaca con alteraciones fisiopatológicas propias de un desequilibrio entre el aporte y la demanda de oxígeno del músculo cardíaco ocasionando isquemia miocárdica. La causa más frecuente es la enfermedad coronaria </w:t>
      </w:r>
      <w:proofErr w:type="spellStart"/>
      <w:r w:rsidRPr="00BF2799">
        <w:t>epicárdica</w:t>
      </w:r>
      <w:proofErr w:type="spellEnd"/>
      <w:r w:rsidRPr="00BF2799">
        <w:t xml:space="preserve"> aterosclerótica.</w:t>
      </w:r>
      <w:r>
        <w:rPr>
          <w:vertAlign w:val="superscript"/>
          <w:lang w:val="es-ES_tradnl"/>
        </w:rPr>
        <w:t>20, 21</w:t>
      </w:r>
    </w:p>
    <w:p w:rsidR="000773A3" w:rsidRPr="00BF2799" w:rsidRDefault="000773A3" w:rsidP="000773A3">
      <w:pPr>
        <w:spacing w:line="480" w:lineRule="auto"/>
      </w:pPr>
      <w:r w:rsidRPr="00BF2799">
        <w:t>La aterosclerosis coronaria es un proceso responsable de las manifestaciones clínicas de la CI. Es un proceso activo caracterizado por una reacción inflamatoria crónica, acompañada de fenómenos de reparación que tiene lugar en la pared arterial. La etiología es compleja y multifactorial, considerándose como el resultado de la interacción entre una carga genética predisponente y determinados factores ambientales. La aterosclerosis coronaria está íntimamente relacionada con determinados hábitos de vida y ciertas características personales. Son los llamados factores de riesgo de la enfermedad aterosclerótica, pues su presencia se asocia a una probabilidad aumentada de padecer dicha enfermedad y sus consecuencias.</w:t>
      </w:r>
      <w:r>
        <w:rPr>
          <w:vertAlign w:val="superscript"/>
          <w:lang w:val="es-ES_tradnl"/>
        </w:rPr>
        <w:t>20, 21</w:t>
      </w:r>
    </w:p>
    <w:p w:rsidR="000773A3" w:rsidRPr="00BF2799" w:rsidRDefault="000773A3" w:rsidP="000773A3">
      <w:pPr>
        <w:spacing w:line="480" w:lineRule="auto"/>
        <w:rPr>
          <w:b/>
        </w:rPr>
      </w:pPr>
      <w:r w:rsidRPr="00BF2799">
        <w:rPr>
          <w:b/>
          <w:bCs/>
        </w:rPr>
        <w:t xml:space="preserve">1.1.2 </w:t>
      </w:r>
      <w:r w:rsidRPr="00BF2799">
        <w:rPr>
          <w:b/>
        </w:rPr>
        <w:t xml:space="preserve">Factores de riesgos </w:t>
      </w:r>
      <w:proofErr w:type="spellStart"/>
      <w:r w:rsidRPr="00BF2799">
        <w:rPr>
          <w:b/>
        </w:rPr>
        <w:t>aterogénicos</w:t>
      </w:r>
      <w:proofErr w:type="spellEnd"/>
    </w:p>
    <w:p w:rsidR="000773A3" w:rsidRPr="00BF2799" w:rsidRDefault="000773A3" w:rsidP="000773A3">
      <w:pPr>
        <w:spacing w:line="480" w:lineRule="auto"/>
        <w:rPr>
          <w:lang w:eastAsia="es-ES"/>
        </w:rPr>
      </w:pPr>
      <w:r w:rsidRPr="00BF2799">
        <w:rPr>
          <w:lang w:eastAsia="es-ES"/>
        </w:rPr>
        <w:t xml:space="preserve">La búsqueda en las interacciones entre determinados hábitos de vida y características personales con la enfermedad aterosclerótica surgió en los años 40, a raíz de estudios realizados por las compañías de seguros de vida. Sin embargo, la identificación de dichos factores de riesgo ha sido el resultado de diversos estudios epidemiológicos, entre los que se destaca el estudio </w:t>
      </w:r>
      <w:proofErr w:type="spellStart"/>
      <w:r w:rsidRPr="00BF2799">
        <w:rPr>
          <w:lang w:eastAsia="es-ES"/>
        </w:rPr>
        <w:t>Framinghan</w:t>
      </w:r>
      <w:proofErr w:type="spellEnd"/>
      <w:r w:rsidRPr="00BF2799">
        <w:rPr>
          <w:lang w:eastAsia="es-ES"/>
        </w:rPr>
        <w:t xml:space="preserve">, realizándose por más de tres décadas. El reconocimiento de las particularidades de los enfermos de CI con respecto a los que no la padecen, </w:t>
      </w:r>
      <w:r w:rsidRPr="00BF2799">
        <w:rPr>
          <w:lang w:eastAsia="es-ES"/>
        </w:rPr>
        <w:lastRenderedPageBreak/>
        <w:t>los estudios de seguimiento de la presencia de estas características predisponentes; se asocian a una mayor probabilidad de desarrollar manifestaciones clínicas de la enfermedad, por lo que ha permitido definir una serie de factores que se relacionan con un riesgo aumentado de padecer CI.</w:t>
      </w:r>
      <w:r w:rsidRPr="00BF2799">
        <w:rPr>
          <w:vertAlign w:val="superscript"/>
          <w:lang w:val="es-ES_tradnl"/>
        </w:rPr>
        <w:t>17</w:t>
      </w:r>
    </w:p>
    <w:p w:rsidR="000773A3" w:rsidRPr="00BF2799" w:rsidRDefault="000773A3" w:rsidP="000773A3">
      <w:pPr>
        <w:spacing w:line="480" w:lineRule="auto"/>
      </w:pPr>
      <w:r w:rsidRPr="00BF2799">
        <w:rPr>
          <w:bCs/>
        </w:rPr>
        <w:t xml:space="preserve">Los factores de riesgo </w:t>
      </w:r>
      <w:proofErr w:type="spellStart"/>
      <w:r w:rsidRPr="00BF2799">
        <w:rPr>
          <w:bCs/>
        </w:rPr>
        <w:t>aterogénicos</w:t>
      </w:r>
      <w:proofErr w:type="spellEnd"/>
      <w:r w:rsidRPr="00BF2799">
        <w:rPr>
          <w:bCs/>
        </w:rPr>
        <w:t xml:space="preserve"> (FR)</w:t>
      </w:r>
      <w:r w:rsidRPr="00BF2799">
        <w:rPr>
          <w:lang w:eastAsia="es-ES"/>
        </w:rPr>
        <w:t xml:space="preserve"> interactúan entre sí de forma que la suma de varios de ellos tiene un efecto multiplicativo sobre el riesgo global. Se pueden clasificar de diversas formas, una de las más empleadas es la planteada por la AHA en el año 2003.</w:t>
      </w:r>
      <w:r w:rsidRPr="00BF2799">
        <w:rPr>
          <w:bCs/>
          <w:vertAlign w:val="superscript"/>
        </w:rPr>
        <w:t xml:space="preserve"> 23</w:t>
      </w:r>
      <w:r w:rsidRPr="00BF2799">
        <w:rPr>
          <w:lang w:eastAsia="es-ES"/>
        </w:rPr>
        <w:t xml:space="preserve"> Esta los dividió en factores no modificables (sexo, edad, herencia, raza) y modificables (como el tabaco, la hipertensión, la hiperlipidemia, la resistencia a la insulina, la diabetes, la inactividad física y la obesidad).</w:t>
      </w:r>
      <w:r w:rsidRPr="00BF2799">
        <w:rPr>
          <w:vertAlign w:val="superscript"/>
          <w:lang w:val="es-ES_tradnl"/>
        </w:rPr>
        <w:t>17,</w:t>
      </w:r>
      <w:r>
        <w:rPr>
          <w:vertAlign w:val="superscript"/>
          <w:lang w:val="es-ES_tradnl"/>
        </w:rPr>
        <w:t xml:space="preserve"> 20-23</w:t>
      </w:r>
    </w:p>
    <w:p w:rsidR="000773A3" w:rsidRPr="00BF2799" w:rsidRDefault="000773A3" w:rsidP="000773A3">
      <w:pPr>
        <w:spacing w:line="480" w:lineRule="auto"/>
        <w:rPr>
          <w:b/>
          <w:bCs/>
        </w:rPr>
      </w:pPr>
      <w:r w:rsidRPr="00BF2799">
        <w:rPr>
          <w:b/>
          <w:bCs/>
        </w:rPr>
        <w:t>1.1.3 Factores de riesgo mayores no modificables:</w:t>
      </w:r>
      <w:r w:rsidRPr="00BF2799">
        <w:rPr>
          <w:vertAlign w:val="superscript"/>
          <w:lang w:val="es-ES_tradnl"/>
        </w:rPr>
        <w:t>17,</w:t>
      </w:r>
      <w:r>
        <w:rPr>
          <w:vertAlign w:val="superscript"/>
          <w:lang w:val="es-ES_tradnl"/>
        </w:rPr>
        <w:t xml:space="preserve"> 20-23</w:t>
      </w:r>
    </w:p>
    <w:p w:rsidR="000773A3" w:rsidRPr="00BF2799" w:rsidRDefault="000773A3" w:rsidP="000773A3">
      <w:pPr>
        <w:spacing w:line="480" w:lineRule="auto"/>
        <w:rPr>
          <w:bCs/>
        </w:rPr>
      </w:pPr>
      <w:r w:rsidRPr="00BF2799">
        <w:rPr>
          <w:bCs/>
        </w:rPr>
        <w:t xml:space="preserve">1. Herencia: Historia familiar de enfermedad cardiovascular prematura (hombre &lt;55 años o mujeres &lt;65 años). </w:t>
      </w:r>
    </w:p>
    <w:p w:rsidR="000773A3" w:rsidRPr="00BF2799" w:rsidRDefault="000773A3" w:rsidP="000773A3">
      <w:pPr>
        <w:spacing w:line="480" w:lineRule="auto"/>
        <w:rPr>
          <w:bCs/>
        </w:rPr>
      </w:pPr>
      <w:r w:rsidRPr="00BF2799">
        <w:rPr>
          <w:bCs/>
        </w:rPr>
        <w:t xml:space="preserve">2. Sexo: Los hombres tienen mayor riesgo de enfermedad cardiovascular que las mujeres, y son afectados en edades más tempranas. Luego de la menopausia el riesgo de las mujeres aumenta, pero aún es menor que en el sexo masculino. </w:t>
      </w:r>
    </w:p>
    <w:p w:rsidR="000773A3" w:rsidRPr="00BF2799" w:rsidRDefault="000773A3" w:rsidP="000773A3">
      <w:pPr>
        <w:spacing w:line="480" w:lineRule="auto"/>
        <w:rPr>
          <w:bCs/>
        </w:rPr>
      </w:pPr>
      <w:r w:rsidRPr="00BF2799">
        <w:rPr>
          <w:bCs/>
        </w:rPr>
        <w:t xml:space="preserve">3. Edad: Cuatro de cinco pacientes que fallecen por enfermedad cardiovascular son mayores de 65 años. </w:t>
      </w:r>
    </w:p>
    <w:p w:rsidR="000773A3" w:rsidRDefault="000773A3" w:rsidP="000773A3">
      <w:pPr>
        <w:spacing w:line="480" w:lineRule="auto"/>
        <w:rPr>
          <w:bCs/>
        </w:rPr>
      </w:pPr>
      <w:r>
        <w:rPr>
          <w:bCs/>
        </w:rPr>
        <w:t>4. Color de la piel</w:t>
      </w:r>
      <w:r w:rsidRPr="00BF2799">
        <w:rPr>
          <w:bCs/>
        </w:rPr>
        <w:t xml:space="preserve">: Los pacientes de raza negra suelen tener mayores cifras de tensión arterial que los de la raza caucásica, por ende, tienen mayor riesgo de enfermedad cardiovascular. </w:t>
      </w:r>
    </w:p>
    <w:p w:rsidR="0007421A" w:rsidRPr="00BF2799" w:rsidRDefault="0007421A" w:rsidP="000773A3">
      <w:pPr>
        <w:spacing w:line="480" w:lineRule="auto"/>
        <w:rPr>
          <w:bCs/>
        </w:rPr>
      </w:pPr>
    </w:p>
    <w:p w:rsidR="000773A3" w:rsidRPr="00BF2799" w:rsidRDefault="000773A3" w:rsidP="000773A3">
      <w:pPr>
        <w:spacing w:line="480" w:lineRule="auto"/>
        <w:rPr>
          <w:b/>
          <w:bCs/>
        </w:rPr>
      </w:pPr>
      <w:r w:rsidRPr="00BF2799">
        <w:rPr>
          <w:b/>
          <w:bCs/>
        </w:rPr>
        <w:lastRenderedPageBreak/>
        <w:t>1.1.4 Factores de riesgo mayores que pueden ser modificados:</w:t>
      </w:r>
      <w:r w:rsidRPr="00BF2799">
        <w:rPr>
          <w:vertAlign w:val="superscript"/>
          <w:lang w:val="es-ES_tradnl"/>
        </w:rPr>
        <w:t>17,</w:t>
      </w:r>
      <w:r>
        <w:rPr>
          <w:vertAlign w:val="superscript"/>
          <w:lang w:val="es-ES_tradnl"/>
        </w:rPr>
        <w:t xml:space="preserve"> 20-23</w:t>
      </w:r>
    </w:p>
    <w:p w:rsidR="000773A3" w:rsidRPr="00BF2799" w:rsidRDefault="000773A3" w:rsidP="000773A3">
      <w:pPr>
        <w:spacing w:line="480" w:lineRule="auto"/>
        <w:rPr>
          <w:bCs/>
        </w:rPr>
      </w:pPr>
      <w:r w:rsidRPr="00BF2799">
        <w:rPr>
          <w:bCs/>
        </w:rPr>
        <w:t xml:space="preserve">1. Hipertensión arterial: La hipertensión arterial incrementa el trabajo a que es sometido el corazón. Aumenta el riesgo de accidente vascular encefálico, ataque cardíaco, falla renal, etc. Cuando la hipertensión se acompaña de obesidad, tabaquismo, hipercolesterolemia o diabetes el riesgo aumenta notoriamente. </w:t>
      </w:r>
    </w:p>
    <w:p w:rsidR="000773A3" w:rsidRPr="00BF2799" w:rsidRDefault="000773A3" w:rsidP="000773A3">
      <w:pPr>
        <w:spacing w:line="480" w:lineRule="auto"/>
        <w:rPr>
          <w:bCs/>
        </w:rPr>
      </w:pPr>
      <w:r w:rsidRPr="00BF2799">
        <w:rPr>
          <w:bCs/>
        </w:rPr>
        <w:t xml:space="preserve">2. Diabetes Mellitus. La diabetes incrementa el riesgo de desarrollar enfermedad cardiovascular. Más del 80% de los pacientes diabéticos pueden padecer alguna afección de este tipo. </w:t>
      </w:r>
    </w:p>
    <w:p w:rsidR="000773A3" w:rsidRPr="00BF2799" w:rsidRDefault="000773A3" w:rsidP="000773A3">
      <w:pPr>
        <w:spacing w:line="480" w:lineRule="auto"/>
        <w:rPr>
          <w:bCs/>
        </w:rPr>
      </w:pPr>
      <w:r w:rsidRPr="00BF2799">
        <w:rPr>
          <w:bCs/>
        </w:rPr>
        <w:t xml:space="preserve">3. Hábito de fumar: Los fumadores tienen el doble de riesgo de enfermedad cardiovascular con respecto a los no fumadores. Los fumadores tienen de 2 a 4 veces más riesgo de muerte súbita que los no fumadores. Los que sufren ataque cardíaco tienen mayor riesgo de muerte súbita en la primera hora luego del evento agudo que los no fumadores. Las evidencias parecen indicar que la exposición crónica a ambientes con humo de tabaco (fumadores pasivos) aumentaría el riesgo de enfermedad cardiovascular. </w:t>
      </w:r>
    </w:p>
    <w:p w:rsidR="000773A3" w:rsidRPr="00BF2799" w:rsidRDefault="000773A3" w:rsidP="000773A3">
      <w:pPr>
        <w:spacing w:line="480" w:lineRule="auto"/>
        <w:rPr>
          <w:bCs/>
        </w:rPr>
      </w:pPr>
      <w:r w:rsidRPr="00BF2799">
        <w:rPr>
          <w:bCs/>
        </w:rPr>
        <w:t xml:space="preserve">4. </w:t>
      </w:r>
      <w:proofErr w:type="spellStart"/>
      <w:r w:rsidRPr="00BF2799">
        <w:rPr>
          <w:bCs/>
        </w:rPr>
        <w:t>Dislipidemia</w:t>
      </w:r>
      <w:proofErr w:type="spellEnd"/>
      <w:r w:rsidRPr="00BF2799">
        <w:rPr>
          <w:bCs/>
        </w:rPr>
        <w:t>. El riesgo de enfermedad coronaria se incrementa con el aument</w:t>
      </w:r>
      <w:r>
        <w:rPr>
          <w:bCs/>
        </w:rPr>
        <w:t xml:space="preserve">o de los niveles de colesterol, </w:t>
      </w:r>
      <w:r w:rsidRPr="00BF2799">
        <w:rPr>
          <w:bCs/>
        </w:rPr>
        <w:t>sobre t</w:t>
      </w:r>
      <w:r>
        <w:rPr>
          <w:bCs/>
        </w:rPr>
        <w:t xml:space="preserve">odo con la elevación de la </w:t>
      </w:r>
      <w:proofErr w:type="spellStart"/>
      <w:r>
        <w:rPr>
          <w:bCs/>
        </w:rPr>
        <w:t>LDLc</w:t>
      </w:r>
      <w:proofErr w:type="spellEnd"/>
      <w:r w:rsidRPr="00BF2799">
        <w:rPr>
          <w:bCs/>
        </w:rPr>
        <w:t xml:space="preserve">. La disminución de los niveles de </w:t>
      </w:r>
      <w:proofErr w:type="spellStart"/>
      <w:r w:rsidRPr="00BF2799">
        <w:rPr>
          <w:bCs/>
        </w:rPr>
        <w:t>HDLc</w:t>
      </w:r>
      <w:proofErr w:type="spellEnd"/>
      <w:r w:rsidRPr="00BF2799">
        <w:rPr>
          <w:bCs/>
        </w:rPr>
        <w:t>, también constituye un riesgo para enfermedad cardiov</w:t>
      </w:r>
      <w:r>
        <w:rPr>
          <w:bCs/>
        </w:rPr>
        <w:t>ascular. Cuando otros factores como hipertensión y tabaquismo</w:t>
      </w:r>
      <w:r w:rsidRPr="00BF2799">
        <w:rPr>
          <w:bCs/>
        </w:rPr>
        <w:t xml:space="preserve"> están presentes, el riesgo crece más aún. </w:t>
      </w:r>
    </w:p>
    <w:p w:rsidR="000773A3" w:rsidRPr="00BF2799" w:rsidRDefault="000773A3" w:rsidP="000773A3">
      <w:pPr>
        <w:spacing w:line="480" w:lineRule="auto"/>
        <w:rPr>
          <w:bCs/>
        </w:rPr>
      </w:pPr>
      <w:r w:rsidRPr="00BF2799">
        <w:rPr>
          <w:bCs/>
        </w:rPr>
        <w:t xml:space="preserve">5. Inactividad física. El sedentarismo es un factor de riesgo para la enfermedad cardiovascular. La actividad aeróbica regular, juega un rol significativo en la </w:t>
      </w:r>
      <w:r w:rsidRPr="00BF2799">
        <w:rPr>
          <w:bCs/>
        </w:rPr>
        <w:lastRenderedPageBreak/>
        <w:t xml:space="preserve">prevención. Niveles moderados de actividad, son beneficiosos a largo plazo si se realizan regularmente. </w:t>
      </w:r>
    </w:p>
    <w:p w:rsidR="000773A3" w:rsidRPr="00BF2799" w:rsidRDefault="000773A3" w:rsidP="000773A3">
      <w:pPr>
        <w:spacing w:line="480" w:lineRule="auto"/>
        <w:rPr>
          <w:bCs/>
        </w:rPr>
      </w:pPr>
      <w:r w:rsidRPr="00BF2799">
        <w:rPr>
          <w:bCs/>
        </w:rPr>
        <w:t xml:space="preserve">6. Obesidad. El sobrepeso predispone a desarrollar enfermedades cardiovasculares. Es perjudicial porque incrementa el esfuerzo a que es sometido el corazón, y se vincula a la enfermedad coronaria por su influencia negativa sobre el colesterol y la diabetes. </w:t>
      </w:r>
    </w:p>
    <w:p w:rsidR="000773A3" w:rsidRPr="00BF2799" w:rsidRDefault="000773A3" w:rsidP="000773A3">
      <w:pPr>
        <w:spacing w:line="480" w:lineRule="auto"/>
        <w:rPr>
          <w:b/>
          <w:bCs/>
        </w:rPr>
      </w:pPr>
      <w:r w:rsidRPr="00BF2799">
        <w:rPr>
          <w:b/>
          <w:bCs/>
        </w:rPr>
        <w:t>1.1.5 Factores de riesgo contribuyentes</w:t>
      </w:r>
      <w:r w:rsidRPr="00BF2799">
        <w:rPr>
          <w:vertAlign w:val="superscript"/>
          <w:lang w:val="es-ES_tradnl"/>
        </w:rPr>
        <w:t>17,</w:t>
      </w:r>
      <w:r>
        <w:rPr>
          <w:vertAlign w:val="superscript"/>
          <w:lang w:val="es-ES_tradnl"/>
        </w:rPr>
        <w:t xml:space="preserve"> 20-23</w:t>
      </w:r>
    </w:p>
    <w:p w:rsidR="000773A3" w:rsidRPr="00BF2799" w:rsidRDefault="000773A3" w:rsidP="000773A3">
      <w:pPr>
        <w:spacing w:line="480" w:lineRule="auto"/>
        <w:rPr>
          <w:bCs/>
        </w:rPr>
      </w:pPr>
      <w:r w:rsidRPr="00BF2799">
        <w:rPr>
          <w:bCs/>
        </w:rPr>
        <w:t xml:space="preserve">1. Respuesta individual al estrés. </w:t>
      </w:r>
    </w:p>
    <w:p w:rsidR="000773A3" w:rsidRPr="00BF2799" w:rsidRDefault="000773A3" w:rsidP="000773A3">
      <w:pPr>
        <w:spacing w:line="480" w:lineRule="auto"/>
        <w:rPr>
          <w:bCs/>
        </w:rPr>
      </w:pPr>
      <w:r w:rsidRPr="00BF2799">
        <w:rPr>
          <w:bCs/>
        </w:rPr>
        <w:t xml:space="preserve">2. Ingestión excesiva de alcohol. </w:t>
      </w:r>
    </w:p>
    <w:p w:rsidR="000773A3" w:rsidRPr="00BF2799" w:rsidRDefault="000773A3" w:rsidP="000773A3">
      <w:pPr>
        <w:spacing w:line="480" w:lineRule="auto"/>
        <w:rPr>
          <w:bCs/>
        </w:rPr>
      </w:pPr>
      <w:r w:rsidRPr="00BF2799">
        <w:rPr>
          <w:bCs/>
        </w:rPr>
        <w:t xml:space="preserve">3. Ingestión de drogas. </w:t>
      </w:r>
    </w:p>
    <w:p w:rsidR="000773A3" w:rsidRPr="00BF2799" w:rsidRDefault="000773A3" w:rsidP="000773A3">
      <w:pPr>
        <w:spacing w:line="480" w:lineRule="auto"/>
        <w:rPr>
          <w:bCs/>
        </w:rPr>
      </w:pPr>
      <w:r w:rsidRPr="00BF2799">
        <w:rPr>
          <w:bCs/>
        </w:rPr>
        <w:t xml:space="preserve">4. Menopausia </w:t>
      </w:r>
    </w:p>
    <w:p w:rsidR="000773A3" w:rsidRPr="00BF2799" w:rsidRDefault="000773A3" w:rsidP="000773A3">
      <w:pPr>
        <w:spacing w:line="480" w:lineRule="auto"/>
      </w:pPr>
      <w:r w:rsidRPr="00BF2799">
        <w:rPr>
          <w:b/>
          <w:bCs/>
        </w:rPr>
        <w:t>1.1.5</w:t>
      </w:r>
      <w:r>
        <w:rPr>
          <w:b/>
          <w:bCs/>
        </w:rPr>
        <w:t xml:space="preserve"> </w:t>
      </w:r>
      <w:r w:rsidRPr="00BF2799">
        <w:rPr>
          <w:b/>
        </w:rPr>
        <w:t>Manifestaciones clínicas.</w:t>
      </w:r>
    </w:p>
    <w:p w:rsidR="000773A3" w:rsidRPr="00BF2799" w:rsidRDefault="000773A3" w:rsidP="000773A3">
      <w:pPr>
        <w:autoSpaceDE w:val="0"/>
        <w:autoSpaceDN w:val="0"/>
        <w:adjustRightInd w:val="0"/>
        <w:spacing w:line="480" w:lineRule="auto"/>
        <w:rPr>
          <w:lang w:eastAsia="es-ES"/>
        </w:rPr>
      </w:pPr>
      <w:r w:rsidRPr="00BF2799">
        <w:rPr>
          <w:lang w:eastAsia="es-ES"/>
        </w:rPr>
        <w:t>Las manifestaciones clínicas en la CI pueden ser variables. Su síntom</w:t>
      </w:r>
      <w:r>
        <w:rPr>
          <w:lang w:eastAsia="es-ES"/>
        </w:rPr>
        <w:t xml:space="preserve">a cardinal es el dolor torácico </w:t>
      </w:r>
      <w:r w:rsidRPr="00BF2799">
        <w:rPr>
          <w:lang w:eastAsia="es-ES"/>
        </w:rPr>
        <w:t xml:space="preserve">en el infarto agudo de miocardio </w:t>
      </w:r>
      <w:r>
        <w:rPr>
          <w:lang w:eastAsia="es-ES"/>
        </w:rPr>
        <w:t xml:space="preserve">y </w:t>
      </w:r>
      <w:r w:rsidRPr="00BF2799">
        <w:rPr>
          <w:lang w:eastAsia="es-ES"/>
        </w:rPr>
        <w:t xml:space="preserve">en </w:t>
      </w:r>
      <w:r>
        <w:rPr>
          <w:lang w:eastAsia="es-ES"/>
        </w:rPr>
        <w:t xml:space="preserve">los diferentes tipos de angina: </w:t>
      </w:r>
      <w:r w:rsidRPr="00BF2799">
        <w:rPr>
          <w:lang w:eastAsia="es-ES"/>
        </w:rPr>
        <w:t xml:space="preserve">estable, inestable, vaso espástica, </w:t>
      </w:r>
      <w:proofErr w:type="spellStart"/>
      <w:r w:rsidRPr="00BF2799">
        <w:rPr>
          <w:lang w:eastAsia="es-ES"/>
        </w:rPr>
        <w:t>micro</w:t>
      </w:r>
      <w:r>
        <w:rPr>
          <w:lang w:eastAsia="es-ES"/>
        </w:rPr>
        <w:t>vascular</w:t>
      </w:r>
      <w:proofErr w:type="spellEnd"/>
      <w:r w:rsidRPr="00BF2799">
        <w:rPr>
          <w:lang w:eastAsia="es-ES"/>
        </w:rPr>
        <w:t>. Pueden aparecer otros síntomas, también llamados equivalentes anginosos como la disnea, molestia en el epigastrio, intolerancia al esfuerzo, fatiga excesiva, sobre todo en mujeres, adultos ancianos y diabéticos. Estos síntomas pueden estar presente en los cuadros de angina o infarto, en pacientes</w:t>
      </w:r>
      <w:r>
        <w:rPr>
          <w:lang w:eastAsia="es-ES"/>
        </w:rPr>
        <w:t xml:space="preserve"> con isquemia miocárdica sin dolor</w:t>
      </w:r>
      <w:r w:rsidRPr="00BF2799">
        <w:rPr>
          <w:lang w:eastAsia="es-ES"/>
        </w:rPr>
        <w:t>, insuficiencia cardiaca, arritmias malignas y la muerte súbita.</w:t>
      </w:r>
      <w:r w:rsidRPr="00BF2799">
        <w:rPr>
          <w:vertAlign w:val="superscript"/>
          <w:lang w:val="es-ES_tradnl"/>
        </w:rPr>
        <w:t>17,</w:t>
      </w:r>
      <w:r>
        <w:rPr>
          <w:vertAlign w:val="superscript"/>
          <w:lang w:val="es-ES_tradnl"/>
        </w:rPr>
        <w:t xml:space="preserve"> 21-23</w:t>
      </w:r>
    </w:p>
    <w:p w:rsidR="000773A3" w:rsidRPr="00BF2799" w:rsidRDefault="000773A3" w:rsidP="000773A3">
      <w:pPr>
        <w:autoSpaceDE w:val="0"/>
        <w:autoSpaceDN w:val="0"/>
        <w:adjustRightInd w:val="0"/>
        <w:spacing w:line="480" w:lineRule="auto"/>
        <w:rPr>
          <w:lang w:eastAsia="es-ES"/>
        </w:rPr>
      </w:pPr>
      <w:r w:rsidRPr="00BF2799">
        <w:rPr>
          <w:lang w:eastAsia="es-ES"/>
        </w:rPr>
        <w:t xml:space="preserve">La EAC con isquemia demostrada tiene otras causas no ateroscleróticas, como: las malformaciones congénitas de los vasos coronarios, la presencia de puentes </w:t>
      </w:r>
      <w:proofErr w:type="spellStart"/>
      <w:r w:rsidRPr="00BF2799">
        <w:rPr>
          <w:lang w:eastAsia="es-ES"/>
        </w:rPr>
        <w:t>intramiocárdicos</w:t>
      </w:r>
      <w:proofErr w:type="spellEnd"/>
      <w:r w:rsidRPr="00BF2799">
        <w:rPr>
          <w:lang w:eastAsia="es-ES"/>
        </w:rPr>
        <w:t xml:space="preserve">, la arteritis coronaria asociada a las vasculitis </w:t>
      </w:r>
      <w:r w:rsidRPr="00BF2799">
        <w:rPr>
          <w:lang w:eastAsia="es-ES"/>
        </w:rPr>
        <w:lastRenderedPageBreak/>
        <w:t xml:space="preserve">sistémicas o lesiones coronarias post-radiación. Puede aparecer dolor torácico en pacientes con aumento de las necesidades de oxígeno como en la </w:t>
      </w:r>
      <w:proofErr w:type="spellStart"/>
      <w:r w:rsidRPr="00BF2799">
        <w:rPr>
          <w:lang w:eastAsia="es-ES"/>
        </w:rPr>
        <w:t>valvulopatía</w:t>
      </w:r>
      <w:proofErr w:type="spellEnd"/>
      <w:r w:rsidRPr="00BF2799">
        <w:rPr>
          <w:lang w:eastAsia="es-ES"/>
        </w:rPr>
        <w:t xml:space="preserve"> aórtica, la miocardiopatía hipertrófica o la miocardiopatía dilatada idiopática.</w:t>
      </w:r>
      <w:r>
        <w:rPr>
          <w:vertAlign w:val="superscript"/>
          <w:lang w:val="es-ES_tradnl"/>
        </w:rPr>
        <w:t>21</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Las características del dolor torácico de causa isquémico </w:t>
      </w:r>
      <w:r>
        <w:rPr>
          <w:rFonts w:eastAsia="Gulliver"/>
          <w:iCs/>
          <w:lang w:eastAsia="es-ES"/>
        </w:rPr>
        <w:t>o angina de pecho</w:t>
      </w:r>
      <w:r w:rsidRPr="00BF2799">
        <w:rPr>
          <w:rFonts w:eastAsia="Gulliver"/>
          <w:iCs/>
          <w:lang w:eastAsia="es-ES"/>
        </w:rPr>
        <w:t xml:space="preserve"> </w:t>
      </w:r>
      <w:r w:rsidRPr="00BF2799">
        <w:rPr>
          <w:rFonts w:eastAsia="Gulliver"/>
          <w:lang w:eastAsia="es-ES"/>
        </w:rPr>
        <w:t>son muy particulares. Se suele localizar en el pecho, cerca del esternón, puede sentirse en otras partes del cuerpo, como la zona epigástrica hasta la mandíbula inferior o la dentadura, entre los omoplatos o en uno de los brazos hasta la muñeca y los dedos. La angina puede ir acompañada de una sensación de falta de aire y de otros síntomas menos específicos, como fatiga o debilidad, náusea, quemazón, desasosiego o una sensación de fatalidad inminente.</w:t>
      </w:r>
      <w:r w:rsidRPr="00BF2799">
        <w:rPr>
          <w:vertAlign w:val="superscript"/>
          <w:lang w:val="es-ES_tradnl"/>
        </w:rPr>
        <w:t>17,</w:t>
      </w:r>
      <w:r>
        <w:rPr>
          <w:vertAlign w:val="superscript"/>
          <w:lang w:val="es-ES_tradnl"/>
        </w:rPr>
        <w:t xml:space="preserve"> 21-23</w:t>
      </w:r>
    </w:p>
    <w:p w:rsidR="000773A3" w:rsidRPr="00BF2799" w:rsidRDefault="000773A3" w:rsidP="000773A3">
      <w:pPr>
        <w:spacing w:line="480" w:lineRule="auto"/>
        <w:rPr>
          <w:vertAlign w:val="superscript"/>
          <w:lang w:val="es-ES_tradnl"/>
        </w:rPr>
      </w:pPr>
      <w:r>
        <w:rPr>
          <w:rFonts w:eastAsia="Gulliver"/>
          <w:lang w:eastAsia="es-ES"/>
        </w:rPr>
        <w:t xml:space="preserve">La duración suele ser breve, </w:t>
      </w:r>
      <w:r w:rsidRPr="00BF2799">
        <w:rPr>
          <w:rFonts w:eastAsia="Gulliver"/>
          <w:lang w:eastAsia="es-ES"/>
        </w:rPr>
        <w:t xml:space="preserve">en la mayoría de los </w:t>
      </w:r>
      <w:r>
        <w:rPr>
          <w:rFonts w:eastAsia="Gulliver"/>
          <w:lang w:eastAsia="es-ES"/>
        </w:rPr>
        <w:t>casos no más de 10 min o menos</w:t>
      </w:r>
      <w:r w:rsidRPr="00BF2799">
        <w:rPr>
          <w:rFonts w:eastAsia="Gulliver"/>
          <w:lang w:eastAsia="es-ES"/>
        </w:rPr>
        <w:t>. Guarda relación con el ejercicio, actividades específicas o el estrés emocional. Típicamente los síntomas aparecen o se intensifica</w:t>
      </w:r>
      <w:r>
        <w:rPr>
          <w:rFonts w:eastAsia="Gulliver"/>
          <w:lang w:eastAsia="es-ES"/>
        </w:rPr>
        <w:t xml:space="preserve">n con el aumento del ejercicio, </w:t>
      </w:r>
      <w:r w:rsidRPr="00BF2799">
        <w:rPr>
          <w:rFonts w:eastAsia="Gulliver"/>
          <w:lang w:eastAsia="es-ES"/>
        </w:rPr>
        <w:t>al subir una cuesta, caminar contra el</w:t>
      </w:r>
      <w:r>
        <w:rPr>
          <w:rFonts w:eastAsia="Gulliver"/>
          <w:lang w:eastAsia="es-ES"/>
        </w:rPr>
        <w:t xml:space="preserve"> viento o a bajas temperaturas </w:t>
      </w:r>
      <w:r w:rsidRPr="00BF2799">
        <w:rPr>
          <w:rFonts w:eastAsia="Gulliver"/>
          <w:lang w:eastAsia="es-ES"/>
        </w:rPr>
        <w:t>y desaparecen rápidamente después de unos minutos cuando cesan estos factores desencadenantes. El reposo y los nitratos por vía bucal o sublingual alivian rápidamente la angina. Todas estas características corresponden al dolor torácico típico.</w:t>
      </w:r>
      <w:r w:rsidRPr="00BF2799">
        <w:rPr>
          <w:vertAlign w:val="superscript"/>
          <w:lang w:val="es-ES_tradnl"/>
        </w:rPr>
        <w:t>16</w:t>
      </w:r>
    </w:p>
    <w:p w:rsidR="000773A3" w:rsidRPr="00BF2799" w:rsidRDefault="000773A3" w:rsidP="000773A3">
      <w:pPr>
        <w:autoSpaceDE w:val="0"/>
        <w:autoSpaceDN w:val="0"/>
        <w:adjustRightInd w:val="0"/>
        <w:spacing w:line="480" w:lineRule="auto"/>
        <w:rPr>
          <w:vertAlign w:val="superscript"/>
          <w:lang w:val="es-ES_tradnl"/>
        </w:rPr>
      </w:pPr>
      <w:r w:rsidRPr="00BF2799">
        <w:rPr>
          <w:lang w:eastAsia="es-ES"/>
        </w:rPr>
        <w:t>Existen diversas clasificaciones de dolor torácico, tres han demostrado valor pronóstico, la de Rose, utilizada por la OMS pa</w:t>
      </w:r>
      <w:r>
        <w:rPr>
          <w:lang w:eastAsia="es-ES"/>
        </w:rPr>
        <w:t xml:space="preserve">ra fines epidemiológicos, y la </w:t>
      </w:r>
      <w:r w:rsidRPr="00BF2799">
        <w:rPr>
          <w:lang w:eastAsia="es-ES"/>
        </w:rPr>
        <w:t xml:space="preserve">de los estudios CASS y de </w:t>
      </w:r>
      <w:proofErr w:type="spellStart"/>
      <w:r w:rsidRPr="00BF2799">
        <w:rPr>
          <w:lang w:eastAsia="es-ES"/>
        </w:rPr>
        <w:t>Diamond</w:t>
      </w:r>
      <w:proofErr w:type="spellEnd"/>
      <w:r w:rsidRPr="00BF2799">
        <w:rPr>
          <w:lang w:eastAsia="es-ES"/>
        </w:rPr>
        <w:t xml:space="preserve"> (1983) y </w:t>
      </w:r>
      <w:proofErr w:type="spellStart"/>
      <w:r w:rsidRPr="00BF2799">
        <w:rPr>
          <w:lang w:eastAsia="es-ES"/>
        </w:rPr>
        <w:t>Forrester</w:t>
      </w:r>
      <w:proofErr w:type="spellEnd"/>
      <w:r w:rsidRPr="00BF2799">
        <w:rPr>
          <w:lang w:eastAsia="es-ES"/>
        </w:rPr>
        <w:t>. Todas estas coinciden en características clásicas para definir el dolor torácico.</w:t>
      </w:r>
      <w:r w:rsidRPr="00BF2799">
        <w:rPr>
          <w:vertAlign w:val="superscript"/>
          <w:lang w:val="es-ES_tradnl"/>
        </w:rPr>
        <w:t>17,</w:t>
      </w:r>
      <w:r>
        <w:rPr>
          <w:vertAlign w:val="superscript"/>
          <w:lang w:val="es-ES_tradnl"/>
        </w:rPr>
        <w:t xml:space="preserve"> 21</w:t>
      </w:r>
      <w:r w:rsidRPr="00BF2799">
        <w:rPr>
          <w:vertAlign w:val="superscript"/>
          <w:lang w:val="es-ES_tradnl"/>
        </w:rPr>
        <w:t>,</w:t>
      </w:r>
      <w:r>
        <w:rPr>
          <w:vertAlign w:val="superscript"/>
          <w:lang w:val="es-ES_tradnl"/>
        </w:rPr>
        <w:t xml:space="preserve"> 23</w:t>
      </w:r>
    </w:p>
    <w:tbl>
      <w:tblPr>
        <w:tblStyle w:val="Tablanormal21"/>
        <w:tblpPr w:leftFromText="141" w:rightFromText="141" w:vertAnchor="text" w:horzAnchor="margin" w:tblpXSpec="center" w:tblpY="552"/>
        <w:tblW w:w="8862" w:type="dxa"/>
        <w:tblLook w:val="04A0" w:firstRow="1" w:lastRow="0" w:firstColumn="1" w:lastColumn="0" w:noHBand="0" w:noVBand="1"/>
      </w:tblPr>
      <w:tblGrid>
        <w:gridCol w:w="4424"/>
        <w:gridCol w:w="4438"/>
      </w:tblGrid>
      <w:tr w:rsidR="000773A3" w:rsidRPr="00CD457A" w:rsidTr="00AE1EA0">
        <w:trPr>
          <w:cnfStyle w:val="100000000000" w:firstRow="1" w:lastRow="0" w:firstColumn="0" w:lastColumn="0" w:oddVBand="0" w:evenVBand="0" w:oddHBand="0" w:evenHBand="0" w:firstRowFirstColumn="0" w:firstRowLastColumn="0" w:lastRowFirstColumn="0" w:lastRowLastColumn="0"/>
          <w:trHeight w:val="3940"/>
        </w:trPr>
        <w:tc>
          <w:tcPr>
            <w:cnfStyle w:val="001000000000" w:firstRow="0" w:lastRow="0" w:firstColumn="1" w:lastColumn="0" w:oddVBand="0" w:evenVBand="0" w:oddHBand="0" w:evenHBand="0" w:firstRowFirstColumn="0" w:firstRowLastColumn="0" w:lastRowFirstColumn="0" w:lastRowLastColumn="0"/>
            <w:tcW w:w="4424"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rPr>
                <w:sz w:val="20"/>
                <w:szCs w:val="20"/>
              </w:rPr>
            </w:pPr>
            <w:bookmarkStart w:id="9" w:name="_Toc18500366"/>
            <w:bookmarkStart w:id="10" w:name="_Toc21105905"/>
            <w:bookmarkStart w:id="11" w:name="_Toc21106335"/>
            <w:r w:rsidRPr="006C136B">
              <w:rPr>
                <w:sz w:val="20"/>
                <w:szCs w:val="20"/>
              </w:rPr>
              <w:lastRenderedPageBreak/>
              <w:t>Dolor anginoso típico(definitivo)</w:t>
            </w:r>
            <w:bookmarkEnd w:id="9"/>
            <w:bookmarkEnd w:id="10"/>
            <w:bookmarkEnd w:id="11"/>
          </w:p>
        </w:tc>
        <w:tc>
          <w:tcPr>
            <w:tcW w:w="4438"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cnfStyle w:val="100000000000" w:firstRow="1" w:lastRow="0" w:firstColumn="0" w:lastColumn="0" w:oddVBand="0" w:evenVBand="0" w:oddHBand="0" w:evenHBand="0" w:firstRowFirstColumn="0" w:firstRowLastColumn="0" w:lastRowFirstColumn="0" w:lastRowLastColumn="0"/>
              <w:rPr>
                <w:sz w:val="20"/>
                <w:szCs w:val="20"/>
              </w:rPr>
            </w:pPr>
            <w:bookmarkStart w:id="12" w:name="_Toc18500367"/>
            <w:bookmarkStart w:id="13" w:name="_Toc21105906"/>
            <w:bookmarkStart w:id="14" w:name="_Toc21106336"/>
            <w:r w:rsidRPr="006C136B">
              <w:rPr>
                <w:sz w:val="20"/>
                <w:szCs w:val="20"/>
              </w:rPr>
              <w:t>Cumple las tres características siguientes:</w:t>
            </w:r>
            <w:bookmarkEnd w:id="12"/>
            <w:bookmarkEnd w:id="13"/>
            <w:bookmarkEnd w:id="14"/>
          </w:p>
          <w:p w:rsidR="000773A3" w:rsidRPr="006C136B" w:rsidRDefault="000773A3" w:rsidP="000773A3">
            <w:pPr>
              <w:pStyle w:val="Textoindependiente"/>
              <w:numPr>
                <w:ilvl w:val="0"/>
                <w:numId w:val="45"/>
              </w:numPr>
              <w:spacing w:line="48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6C136B">
              <w:rPr>
                <w:b w:val="0"/>
                <w:sz w:val="20"/>
                <w:szCs w:val="20"/>
              </w:rPr>
              <w:t xml:space="preserve">Malestar torácico </w:t>
            </w:r>
            <w:proofErr w:type="spellStart"/>
            <w:r w:rsidRPr="006C136B">
              <w:rPr>
                <w:b w:val="0"/>
                <w:sz w:val="20"/>
                <w:szCs w:val="20"/>
              </w:rPr>
              <w:t>retroesternal</w:t>
            </w:r>
            <w:proofErr w:type="spellEnd"/>
            <w:r w:rsidRPr="006C136B">
              <w:rPr>
                <w:b w:val="0"/>
                <w:sz w:val="20"/>
                <w:szCs w:val="20"/>
              </w:rPr>
              <w:t xml:space="preserve"> de naturaleza y duración típica.</w:t>
            </w:r>
          </w:p>
          <w:p w:rsidR="000773A3" w:rsidRPr="006C136B" w:rsidRDefault="000773A3" w:rsidP="000773A3">
            <w:pPr>
              <w:pStyle w:val="Textoindependiente"/>
              <w:numPr>
                <w:ilvl w:val="0"/>
                <w:numId w:val="45"/>
              </w:numPr>
              <w:spacing w:line="48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6C136B">
              <w:rPr>
                <w:b w:val="0"/>
                <w:sz w:val="20"/>
                <w:szCs w:val="20"/>
              </w:rPr>
              <w:t>Provocado por el esfuerzo o el estrés emocional</w:t>
            </w:r>
          </w:p>
          <w:p w:rsidR="000773A3" w:rsidRPr="006C136B" w:rsidRDefault="000773A3" w:rsidP="000773A3">
            <w:pPr>
              <w:pStyle w:val="Textoindependiente"/>
              <w:numPr>
                <w:ilvl w:val="0"/>
                <w:numId w:val="45"/>
              </w:numPr>
              <w:spacing w:line="48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6C136B">
              <w:rPr>
                <w:b w:val="0"/>
                <w:sz w:val="20"/>
                <w:szCs w:val="20"/>
              </w:rPr>
              <w:t>Se alivia en unos minutos con reposo o nitratos</w:t>
            </w:r>
          </w:p>
        </w:tc>
      </w:tr>
      <w:tr w:rsidR="000773A3" w:rsidRPr="00CD457A" w:rsidTr="00AE1EA0">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424"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rPr>
                <w:sz w:val="20"/>
                <w:szCs w:val="20"/>
              </w:rPr>
            </w:pPr>
            <w:bookmarkStart w:id="15" w:name="_Toc18500368"/>
            <w:bookmarkStart w:id="16" w:name="_Toc21105907"/>
            <w:bookmarkStart w:id="17" w:name="_Toc21106337"/>
            <w:r w:rsidRPr="006C136B">
              <w:rPr>
                <w:sz w:val="20"/>
                <w:szCs w:val="20"/>
              </w:rPr>
              <w:t>Dolor anginoso atípico(probable)</w:t>
            </w:r>
            <w:bookmarkEnd w:id="15"/>
            <w:bookmarkEnd w:id="16"/>
            <w:bookmarkEnd w:id="17"/>
          </w:p>
        </w:tc>
        <w:tc>
          <w:tcPr>
            <w:tcW w:w="4438"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cnfStyle w:val="000000100000" w:firstRow="0" w:lastRow="0" w:firstColumn="0" w:lastColumn="0" w:oddVBand="0" w:evenVBand="0" w:oddHBand="1" w:evenHBand="0" w:firstRowFirstColumn="0" w:firstRowLastColumn="0" w:lastRowFirstColumn="0" w:lastRowLastColumn="0"/>
              <w:rPr>
                <w:b w:val="0"/>
                <w:sz w:val="20"/>
                <w:szCs w:val="20"/>
              </w:rPr>
            </w:pPr>
            <w:bookmarkStart w:id="18" w:name="_Toc18500369"/>
            <w:bookmarkStart w:id="19" w:name="_Toc21105908"/>
            <w:bookmarkStart w:id="20" w:name="_Toc21106338"/>
            <w:r w:rsidRPr="006C136B">
              <w:rPr>
                <w:b w:val="0"/>
                <w:sz w:val="20"/>
                <w:szCs w:val="20"/>
              </w:rPr>
              <w:t>Cumple dos de las características anteriores</w:t>
            </w:r>
            <w:bookmarkEnd w:id="18"/>
            <w:bookmarkEnd w:id="19"/>
            <w:bookmarkEnd w:id="20"/>
          </w:p>
        </w:tc>
      </w:tr>
      <w:tr w:rsidR="000773A3" w:rsidRPr="00CD457A" w:rsidTr="00AE1EA0">
        <w:trPr>
          <w:trHeight w:val="264"/>
        </w:trPr>
        <w:tc>
          <w:tcPr>
            <w:cnfStyle w:val="001000000000" w:firstRow="0" w:lastRow="0" w:firstColumn="1" w:lastColumn="0" w:oddVBand="0" w:evenVBand="0" w:oddHBand="0" w:evenHBand="0" w:firstRowFirstColumn="0" w:firstRowLastColumn="0" w:lastRowFirstColumn="0" w:lastRowLastColumn="0"/>
            <w:tcW w:w="4424"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rPr>
                <w:sz w:val="20"/>
                <w:szCs w:val="20"/>
              </w:rPr>
            </w:pPr>
            <w:bookmarkStart w:id="21" w:name="_Toc18500370"/>
            <w:bookmarkStart w:id="22" w:name="_Toc21105909"/>
            <w:bookmarkStart w:id="23" w:name="_Toc21106339"/>
            <w:r w:rsidRPr="006C136B">
              <w:rPr>
                <w:sz w:val="20"/>
                <w:szCs w:val="20"/>
              </w:rPr>
              <w:t>Dolor no anginoso</w:t>
            </w:r>
            <w:bookmarkEnd w:id="21"/>
            <w:bookmarkEnd w:id="22"/>
            <w:bookmarkEnd w:id="23"/>
          </w:p>
        </w:tc>
        <w:tc>
          <w:tcPr>
            <w:tcW w:w="4438" w:type="dxa"/>
            <w:tcBorders>
              <w:top w:val="single" w:sz="12" w:space="0" w:color="ED7D31" w:themeColor="accent2"/>
              <w:bottom w:val="single" w:sz="12" w:space="0" w:color="ED7D31" w:themeColor="accent2"/>
            </w:tcBorders>
          </w:tcPr>
          <w:p w:rsidR="000773A3" w:rsidRPr="006C136B" w:rsidRDefault="000773A3" w:rsidP="00AE1EA0">
            <w:pPr>
              <w:pStyle w:val="Ttulo1"/>
              <w:spacing w:line="480" w:lineRule="auto"/>
              <w:jc w:val="both"/>
              <w:outlineLvl w:val="0"/>
              <w:cnfStyle w:val="000000000000" w:firstRow="0" w:lastRow="0" w:firstColumn="0" w:lastColumn="0" w:oddVBand="0" w:evenVBand="0" w:oddHBand="0" w:evenHBand="0" w:firstRowFirstColumn="0" w:firstRowLastColumn="0" w:lastRowFirstColumn="0" w:lastRowLastColumn="0"/>
              <w:rPr>
                <w:b w:val="0"/>
                <w:sz w:val="20"/>
                <w:szCs w:val="20"/>
              </w:rPr>
            </w:pPr>
            <w:bookmarkStart w:id="24" w:name="_Toc18500371"/>
            <w:bookmarkStart w:id="25" w:name="_Toc21105910"/>
            <w:bookmarkStart w:id="26" w:name="_Toc21106340"/>
            <w:r w:rsidRPr="006C136B">
              <w:rPr>
                <w:b w:val="0"/>
                <w:sz w:val="20"/>
                <w:szCs w:val="20"/>
              </w:rPr>
              <w:t>Cumple una o ninguna(ausencia) de las características anteriores.</w:t>
            </w:r>
            <w:bookmarkEnd w:id="24"/>
            <w:bookmarkEnd w:id="25"/>
            <w:bookmarkEnd w:id="26"/>
          </w:p>
        </w:tc>
      </w:tr>
    </w:tbl>
    <w:p w:rsidR="000773A3" w:rsidRPr="00BF2799" w:rsidRDefault="000773A3" w:rsidP="000773A3">
      <w:pPr>
        <w:spacing w:line="480" w:lineRule="auto"/>
      </w:pPr>
      <w:r w:rsidRPr="00BF2799">
        <w:t>Clasificación clínica tradicional del dolor torácico.</w:t>
      </w:r>
      <w:r w:rsidRPr="00BF2799">
        <w:rPr>
          <w:vertAlign w:val="superscript"/>
          <w:lang w:val="es-ES_tradnl"/>
        </w:rPr>
        <w:t>17</w:t>
      </w:r>
    </w:p>
    <w:p w:rsidR="000773A3" w:rsidRDefault="000773A3" w:rsidP="000773A3">
      <w:pPr>
        <w:spacing w:line="480" w:lineRule="auto"/>
        <w:rPr>
          <w:b/>
          <w:bCs/>
          <w:lang w:eastAsia="es-ES"/>
        </w:rPr>
      </w:pPr>
    </w:p>
    <w:p w:rsidR="000773A3" w:rsidRPr="00BF2799" w:rsidRDefault="000773A3" w:rsidP="000773A3">
      <w:pPr>
        <w:spacing w:line="480" w:lineRule="auto"/>
      </w:pPr>
      <w:r w:rsidRPr="00BF2799">
        <w:rPr>
          <w:b/>
          <w:bCs/>
          <w:lang w:eastAsia="es-ES"/>
        </w:rPr>
        <w:t>1.2 Pruebas cardiacas no invasivas</w:t>
      </w:r>
    </w:p>
    <w:p w:rsidR="000773A3" w:rsidRPr="00BF2799" w:rsidRDefault="000773A3" w:rsidP="000773A3">
      <w:pPr>
        <w:autoSpaceDE w:val="0"/>
        <w:autoSpaceDN w:val="0"/>
        <w:adjustRightInd w:val="0"/>
        <w:spacing w:line="480" w:lineRule="auto"/>
        <w:rPr>
          <w:rFonts w:eastAsia="Gulliver"/>
          <w:lang w:eastAsia="es-ES"/>
        </w:rPr>
      </w:pPr>
      <w:r w:rsidRPr="00BF2799">
        <w:rPr>
          <w:bCs/>
          <w:lang w:eastAsia="es-ES"/>
        </w:rPr>
        <w:t xml:space="preserve">Existen numerosas pruebas no invasivas </w:t>
      </w:r>
      <w:r w:rsidRPr="00BF2799">
        <w:rPr>
          <w:rFonts w:eastAsia="Gulliver"/>
          <w:lang w:eastAsia="es-ES"/>
        </w:rPr>
        <w:t>para realizar el diagnóstico de CI. Para la interpretación se requiere de un enfoque bayesiano para el diagnóstico. Este enfoque incluye la estimación pre</w:t>
      </w:r>
      <w:r>
        <w:rPr>
          <w:rFonts w:eastAsia="Gulliver"/>
          <w:lang w:eastAsia="es-ES"/>
        </w:rPr>
        <w:t>-</w:t>
      </w:r>
      <w:r w:rsidRPr="00BF2799">
        <w:rPr>
          <w:rFonts w:eastAsia="Gulliver"/>
          <w:lang w:eastAsia="es-ES"/>
        </w:rPr>
        <w:t>test de la enfermedad realizada por el médico (denominada probabilidad pre</w:t>
      </w:r>
      <w:r>
        <w:rPr>
          <w:rFonts w:eastAsia="Gulliver"/>
          <w:lang w:eastAsia="es-ES"/>
        </w:rPr>
        <w:t>-</w:t>
      </w:r>
      <w:r w:rsidRPr="00BF2799">
        <w:rPr>
          <w:rFonts w:eastAsia="Gulliver"/>
          <w:lang w:eastAsia="es-ES"/>
        </w:rPr>
        <w:t>test [PPT]) junto a los resultados de las pruebas diagnósticas para generar una estimación pos</w:t>
      </w:r>
      <w:r>
        <w:rPr>
          <w:rFonts w:eastAsia="Gulliver"/>
          <w:lang w:eastAsia="es-ES"/>
        </w:rPr>
        <w:t>-</w:t>
      </w:r>
      <w:r w:rsidRPr="00BF2799">
        <w:rPr>
          <w:rFonts w:eastAsia="Gulliver"/>
          <w:lang w:eastAsia="es-ES"/>
        </w:rPr>
        <w:t>test de las probabilidades de la enfermedad para un paciente dado. La PPT está influenciada por la prevalencia de la enfermedad en la población estudiada y las características clínicas de un individuo (incluida la presencia de FR cardiovasculares).</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lastRenderedPageBreak/>
        <w:t>Los términos sensibilidad y especificidad se emplean para describir el grado de precisión de una prueba diagnóstica, aunque no pueden describir completamente su rendim</w:t>
      </w:r>
      <w:r>
        <w:rPr>
          <w:rFonts w:eastAsia="Gulliver"/>
          <w:lang w:eastAsia="es-ES"/>
        </w:rPr>
        <w:t>iento en el contexto clínico. ``</w:t>
      </w:r>
      <w:r w:rsidRPr="00BF2799">
        <w:rPr>
          <w:rFonts w:eastAsia="Gulliver"/>
          <w:lang w:eastAsia="es-ES"/>
        </w:rPr>
        <w:t>Debido a la interdependencia de la PPT (probabilidad clínica de la presencia de CI en un paciente dado) y el rendimiento de los métodos diagnósticos de que disponemos (la probabilidad de que un paciente dado tenga la enfermedad si la prueba es positiva o de que no la tenga si la prueba es negativa), las recomendaciones sobre la estrategia diagnósti</w:t>
      </w:r>
      <w:r>
        <w:rPr>
          <w:rFonts w:eastAsia="Gulliver"/>
          <w:lang w:eastAsia="es-ES"/>
        </w:rPr>
        <w:t>ca deben tener en cuenta la PPT</w:t>
      </w:r>
      <w:r w:rsidRPr="00BF2799">
        <w:rPr>
          <w:rFonts w:eastAsia="Gulliver"/>
          <w:lang w:eastAsia="es-ES"/>
        </w:rPr>
        <w:t>’’</w:t>
      </w:r>
      <w:r>
        <w:rPr>
          <w:rFonts w:eastAsia="Gulliver"/>
          <w:lang w:eastAsia="es-ES"/>
        </w:rPr>
        <w:t>.</w:t>
      </w:r>
      <w:r w:rsidRPr="00BF2799">
        <w:rPr>
          <w:vertAlign w:val="superscript"/>
          <w:lang w:val="es-ES_tradnl"/>
        </w:rPr>
        <w:t>17</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Por estos motivos, diferentes guías de diagnóstico y tratamiento sobre la CI en la actualidad recomiendan que no se realicen este tipo de pruebas: en pacientes con una PPT &lt; 15% y&gt; 85%. En dichos pacientes, es seguro asumir que los pacientes del primer grupo no tienen CI obstructiva y que los del segundo grupo tienen CI obstructiva.</w:t>
      </w:r>
      <w:r w:rsidRPr="00BF2799">
        <w:rPr>
          <w:vertAlign w:val="superscript"/>
          <w:lang w:val="es-ES_tradnl"/>
        </w:rPr>
        <w:t>17-19,</w:t>
      </w:r>
      <w:r>
        <w:rPr>
          <w:vertAlign w:val="superscript"/>
          <w:lang w:val="es-ES_tradnl"/>
        </w:rPr>
        <w:t xml:space="preserve"> 21</w:t>
      </w:r>
    </w:p>
    <w:p w:rsidR="000773A3" w:rsidRPr="00BF2799" w:rsidRDefault="000773A3" w:rsidP="000773A3">
      <w:pPr>
        <w:autoSpaceDE w:val="0"/>
        <w:autoSpaceDN w:val="0"/>
        <w:adjustRightInd w:val="0"/>
        <w:spacing w:line="480" w:lineRule="auto"/>
        <w:rPr>
          <w:b/>
          <w:bCs/>
          <w:lang w:eastAsia="es-ES"/>
        </w:rPr>
      </w:pPr>
      <w:r w:rsidRPr="00BF2799">
        <w:rPr>
          <w:b/>
          <w:bCs/>
          <w:lang w:eastAsia="es-ES"/>
        </w:rPr>
        <w:t>1.2.1 Pruebas de estrés para el diagnóstico de isquemia</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El ECG de esfuerzo de doce derivaciones en cinta sin fin o bicicleta es un examen fiable, sencillo y disponible para pacientes con sospecha de CI y PPT de un 15-65%, con un excelente rendimiento.</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21,24</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En pacientes sin alteraciones electrocardiográficas importantes en el ECG basal se obtiene un resultado con mayor validez. En cambio, cuando hay presencia de bloqueo de rama izquierda del Haz de </w:t>
      </w:r>
      <w:proofErr w:type="spellStart"/>
      <w:r w:rsidRPr="00BF2799">
        <w:rPr>
          <w:rFonts w:eastAsia="Gulliver"/>
          <w:lang w:eastAsia="es-ES"/>
        </w:rPr>
        <w:t>His</w:t>
      </w:r>
      <w:proofErr w:type="spellEnd"/>
      <w:r>
        <w:rPr>
          <w:rFonts w:eastAsia="Gulliver"/>
          <w:lang w:eastAsia="es-ES"/>
        </w:rPr>
        <w:t xml:space="preserve"> </w:t>
      </w:r>
      <w:r w:rsidRPr="00BF2799">
        <w:rPr>
          <w:rFonts w:eastAsia="Gulliver"/>
          <w:lang w:eastAsia="es-ES"/>
        </w:rPr>
        <w:t>(BRIHH), ritmo de marcapasos o síndrome de Wolff-Parkinson-White, el ECG de esfuerzo no tiene valor diagnóstico ya que los cambios electrocardiográficos no son interpretables.</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21, 24</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lastRenderedPageBreak/>
        <w:t xml:space="preserve">Lo mismo sucede con otras patologías o alteraciones del medio interno que nos pueden generar resultados de tipo </w:t>
      </w:r>
      <w:r>
        <w:rPr>
          <w:rFonts w:eastAsia="Gulliver"/>
          <w:lang w:eastAsia="es-ES"/>
        </w:rPr>
        <w:t>falso positivo</w:t>
      </w:r>
      <w:r w:rsidRPr="00BF2799">
        <w:rPr>
          <w:rFonts w:eastAsia="Gulliver"/>
          <w:lang w:eastAsia="es-ES"/>
        </w:rPr>
        <w:t xml:space="preserve"> (hipertrofia ventricular izquierda, desequilibrio electrolítico, alteraciones de conducción </w:t>
      </w:r>
      <w:proofErr w:type="spellStart"/>
      <w:r w:rsidRPr="00BF2799">
        <w:rPr>
          <w:rFonts w:eastAsia="Gulliver"/>
          <w:lang w:eastAsia="es-ES"/>
        </w:rPr>
        <w:t>intraventricular</w:t>
      </w:r>
      <w:proofErr w:type="spellEnd"/>
      <w:r w:rsidRPr="00BF2799">
        <w:rPr>
          <w:rFonts w:eastAsia="Gulliver"/>
          <w:lang w:eastAsia="es-ES"/>
        </w:rPr>
        <w:t>, fibrilación auricular y uso de digital).</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21, 24</w:t>
      </w:r>
    </w:p>
    <w:p w:rsidR="000773A3" w:rsidRPr="0007421A" w:rsidRDefault="000773A3" w:rsidP="000773A3">
      <w:pPr>
        <w:autoSpaceDE w:val="0"/>
        <w:autoSpaceDN w:val="0"/>
        <w:adjustRightInd w:val="0"/>
        <w:spacing w:line="480" w:lineRule="auto"/>
        <w:rPr>
          <w:rFonts w:eastAsia="Gulliver"/>
          <w:lang w:eastAsia="es-ES"/>
        </w:rPr>
      </w:pPr>
      <w:r w:rsidRPr="00BF2799">
        <w:rPr>
          <w:rFonts w:eastAsia="Gulliver"/>
          <w:lang w:eastAsia="es-ES"/>
        </w:rPr>
        <w:t>En algunos pacientes, el ECG de esfuerzo puede ser no concluyente, por ejemplo: cuando no se alcanza el 85% de la frecuencia cardiaca máxima en ausencia de síntomas o signos de isquemia, cuando el ejercicio está limitado por problemas ortopédicos u otros problemas no cardíacos o cuando los cambios electrocardiográficos no muestran alteraciones isquémicas claramente.</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21, 24, 25</w:t>
      </w:r>
    </w:p>
    <w:p w:rsidR="000773A3" w:rsidRPr="00BF2799" w:rsidRDefault="000773A3" w:rsidP="000773A3">
      <w:pPr>
        <w:autoSpaceDE w:val="0"/>
        <w:autoSpaceDN w:val="0"/>
        <w:adjustRightInd w:val="0"/>
        <w:spacing w:line="480" w:lineRule="auto"/>
        <w:rPr>
          <w:b/>
          <w:iCs/>
          <w:lang w:eastAsia="es-ES"/>
        </w:rPr>
      </w:pPr>
      <w:r w:rsidRPr="00BF2799">
        <w:rPr>
          <w:b/>
          <w:iCs/>
          <w:lang w:eastAsia="es-ES"/>
        </w:rPr>
        <w:t>1.2.2 Pruebas de imagen de estrés</w:t>
      </w:r>
      <w:r w:rsidRPr="00BF2799">
        <w:rPr>
          <w:b/>
          <w:i/>
          <w:iCs/>
          <w:lang w:eastAsia="es-ES"/>
        </w:rPr>
        <w:t>.</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Las pruebas de imagen de estrés ofrecen varias ventajas: un rendimiento diagnóstico superior para la detección de la enfermedad coronaria obstructiva, la capacidad de cuantificar y localizar áreas de isquemia y la capacidad de proporcionar información diagnóstica en presencia de alteraciones en el ECG en reposo. Además, estas pueden emplearse conjuntamente con test farmacológicos en pacientes con una capacidad de ejercicio inadecuada. Se prefieren en pacientes con una intervención coronaria percutánea (ICP) o cirugía de derivación </w:t>
      </w:r>
      <w:proofErr w:type="spellStart"/>
      <w:r w:rsidRPr="00BF2799">
        <w:rPr>
          <w:rFonts w:eastAsia="Gulliver"/>
          <w:lang w:eastAsia="es-ES"/>
        </w:rPr>
        <w:t>aorto</w:t>
      </w:r>
      <w:proofErr w:type="spellEnd"/>
      <w:r w:rsidRPr="00BF2799">
        <w:rPr>
          <w:rFonts w:eastAsia="Gulliver"/>
          <w:lang w:eastAsia="es-ES"/>
        </w:rPr>
        <w:t>-coronaria (CABG) previas, que frecuentemente tienen alteraciones electrocardiográficas preexistentes y cuyo diagnóstico de enfermedad coronaria se conoce previamente.</w:t>
      </w:r>
      <w:r w:rsidRPr="00BF2799">
        <w:rPr>
          <w:vertAlign w:val="superscript"/>
          <w:lang w:val="es-ES_tradnl"/>
        </w:rPr>
        <w:t>6,</w:t>
      </w:r>
      <w:r>
        <w:rPr>
          <w:vertAlign w:val="superscript"/>
          <w:lang w:val="es-ES_tradnl"/>
        </w:rPr>
        <w:t xml:space="preserve"> 10, </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w:t>
      </w:r>
      <w:r w:rsidRPr="00BF2799">
        <w:rPr>
          <w:vertAlign w:val="superscript"/>
          <w:lang w:val="es-ES_tradnl"/>
        </w:rPr>
        <w:t>,</w:t>
      </w:r>
      <w:r>
        <w:rPr>
          <w:vertAlign w:val="superscript"/>
          <w:lang w:val="es-ES_tradnl"/>
        </w:rPr>
        <w:t xml:space="preserve"> </w:t>
      </w:r>
      <w:r w:rsidRPr="00BF2799">
        <w:rPr>
          <w:vertAlign w:val="superscript"/>
          <w:lang w:val="es-ES_tradnl"/>
        </w:rPr>
        <w:t>25,</w:t>
      </w:r>
      <w:r>
        <w:rPr>
          <w:vertAlign w:val="superscript"/>
          <w:lang w:val="es-ES_tradnl"/>
        </w:rPr>
        <w:t xml:space="preserve"> </w:t>
      </w:r>
      <w:r w:rsidRPr="00BF2799">
        <w:rPr>
          <w:vertAlign w:val="superscript"/>
          <w:lang w:val="es-ES_tradnl"/>
        </w:rPr>
        <w:t>26</w:t>
      </w:r>
    </w:p>
    <w:p w:rsidR="000773A3" w:rsidRPr="00BF2799" w:rsidRDefault="000773A3" w:rsidP="000773A3">
      <w:pPr>
        <w:autoSpaceDE w:val="0"/>
        <w:autoSpaceDN w:val="0"/>
        <w:adjustRightInd w:val="0"/>
        <w:spacing w:line="480" w:lineRule="auto"/>
        <w:rPr>
          <w:vertAlign w:val="superscript"/>
          <w:lang w:val="es-ES_tradnl"/>
        </w:rPr>
      </w:pPr>
      <w:r w:rsidRPr="00BF2799">
        <w:rPr>
          <w:rFonts w:eastAsia="Gulliver"/>
          <w:lang w:eastAsia="es-ES"/>
        </w:rPr>
        <w:t xml:space="preserve">La mayor capacidad de las pruebas de estrés, comparadas con el ECG de esfuerzo, para localizar y cuantificar la isquemia podría traducirse en una estratificación del riesgo más eficaz, que evite realizar procedimientos invasivos </w:t>
      </w:r>
      <w:r w:rsidRPr="00BF2799">
        <w:rPr>
          <w:rFonts w:eastAsia="Gulliver"/>
          <w:lang w:eastAsia="es-ES"/>
        </w:rPr>
        <w:lastRenderedPageBreak/>
        <w:t>innecesarios. En presencia de lesiones coronarias intermedias confirmadas por angiografía, la evidencia de isquemia anatómicamente apropiada puede predecir futuros eventos, mientras que una prueba de imagen de estrés negativa puede utilizarse para definir un grado de riesgo bajo, a la vez que se tranquiliza al paciente.</w:t>
      </w:r>
      <w:r>
        <w:rPr>
          <w:vertAlign w:val="superscript"/>
          <w:lang w:val="es-ES_tradnl"/>
        </w:rPr>
        <w:t>10</w:t>
      </w:r>
      <w:r w:rsidRPr="00BF2799">
        <w:rPr>
          <w:vertAlign w:val="superscript"/>
          <w:lang w:val="es-ES_tradnl"/>
        </w:rPr>
        <w:t>,</w:t>
      </w:r>
      <w:r>
        <w:rPr>
          <w:vertAlign w:val="superscript"/>
          <w:lang w:val="es-ES_tradnl"/>
        </w:rPr>
        <w:t xml:space="preserve"> 17, </w:t>
      </w:r>
      <w:r w:rsidRPr="00BF2799">
        <w:rPr>
          <w:vertAlign w:val="superscript"/>
          <w:lang w:val="es-ES_tradnl"/>
        </w:rPr>
        <w:t>18,</w:t>
      </w:r>
      <w:r>
        <w:rPr>
          <w:vertAlign w:val="superscript"/>
          <w:lang w:val="es-ES_tradnl"/>
        </w:rPr>
        <w:t xml:space="preserve"> 21</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Las indicaciones de las pruebas de imagen de estrés en pacientes con sospecha de CI se han ampliado por el </w:t>
      </w:r>
      <w:proofErr w:type="spellStart"/>
      <w:r w:rsidRPr="00BF2799">
        <w:rPr>
          <w:iCs/>
          <w:lang w:eastAsia="es-ES"/>
        </w:rPr>
        <w:t>National</w:t>
      </w:r>
      <w:proofErr w:type="spellEnd"/>
      <w:r w:rsidRPr="00BF2799">
        <w:rPr>
          <w:iCs/>
          <w:lang w:eastAsia="es-ES"/>
        </w:rPr>
        <w:t xml:space="preserve"> </w:t>
      </w:r>
      <w:proofErr w:type="spellStart"/>
      <w:r w:rsidRPr="00BF2799">
        <w:rPr>
          <w:iCs/>
          <w:lang w:eastAsia="es-ES"/>
        </w:rPr>
        <w:t>Institute</w:t>
      </w:r>
      <w:proofErr w:type="spellEnd"/>
      <w:r w:rsidRPr="00BF2799">
        <w:rPr>
          <w:iCs/>
          <w:lang w:eastAsia="es-ES"/>
        </w:rPr>
        <w:t xml:space="preserve"> </w:t>
      </w:r>
      <w:proofErr w:type="spellStart"/>
      <w:r w:rsidRPr="00BF2799">
        <w:rPr>
          <w:iCs/>
          <w:lang w:eastAsia="es-ES"/>
        </w:rPr>
        <w:t>for</w:t>
      </w:r>
      <w:proofErr w:type="spellEnd"/>
      <w:r w:rsidRPr="00BF2799">
        <w:rPr>
          <w:iCs/>
          <w:lang w:eastAsia="es-ES"/>
        </w:rPr>
        <w:t xml:space="preserve"> </w:t>
      </w:r>
      <w:proofErr w:type="spellStart"/>
      <w:r w:rsidRPr="00BF2799">
        <w:rPr>
          <w:iCs/>
          <w:lang w:eastAsia="es-ES"/>
        </w:rPr>
        <w:t>Health</w:t>
      </w:r>
      <w:proofErr w:type="spellEnd"/>
      <w:r w:rsidRPr="00BF2799">
        <w:rPr>
          <w:iCs/>
          <w:lang w:eastAsia="es-ES"/>
        </w:rPr>
        <w:t xml:space="preserve"> and </w:t>
      </w:r>
      <w:proofErr w:type="spellStart"/>
      <w:r w:rsidRPr="00BF2799">
        <w:rPr>
          <w:iCs/>
          <w:lang w:eastAsia="es-ES"/>
        </w:rPr>
        <w:t>Clinical</w:t>
      </w:r>
      <w:proofErr w:type="spellEnd"/>
      <w:r w:rsidRPr="00BF2799">
        <w:rPr>
          <w:iCs/>
          <w:lang w:eastAsia="es-ES"/>
        </w:rPr>
        <w:t xml:space="preserve"> </w:t>
      </w:r>
      <w:proofErr w:type="spellStart"/>
      <w:r w:rsidRPr="00BF2799">
        <w:rPr>
          <w:iCs/>
          <w:lang w:eastAsia="es-ES"/>
        </w:rPr>
        <w:t>Excellence</w:t>
      </w:r>
      <w:proofErr w:type="spellEnd"/>
      <w:r w:rsidRPr="00BF2799">
        <w:rPr>
          <w:iCs/>
          <w:lang w:eastAsia="es-ES"/>
        </w:rPr>
        <w:t xml:space="preserve"> </w:t>
      </w:r>
      <w:r w:rsidRPr="00BF2799">
        <w:rPr>
          <w:rFonts w:eastAsia="Gulliver"/>
          <w:lang w:eastAsia="es-ES"/>
        </w:rPr>
        <w:t xml:space="preserve">(NICE). Recomendando su uso más que el ECG de esfuerzo, en pacientes con una PPT intermedia </w:t>
      </w:r>
      <w:r w:rsidRPr="00BF2799">
        <w:rPr>
          <w:iCs/>
          <w:lang w:eastAsia="es-ES"/>
        </w:rPr>
        <w:t xml:space="preserve">(hombres de edad mediana con factores de riesgo tradicionales presentes y prueba de esfuerzo no concluyentes o con dolor precordial atípico y mujeres </w:t>
      </w:r>
      <w:proofErr w:type="spellStart"/>
      <w:r w:rsidRPr="00BF2799">
        <w:rPr>
          <w:iCs/>
          <w:lang w:eastAsia="es-ES"/>
        </w:rPr>
        <w:t>perimenopáusicas</w:t>
      </w:r>
      <w:proofErr w:type="spellEnd"/>
      <w:r w:rsidRPr="00BF2799">
        <w:rPr>
          <w:iCs/>
          <w:lang w:eastAsia="es-ES"/>
        </w:rPr>
        <w:t xml:space="preserve"> con prueba de esfuerzo y/o dolor precordial no concluyente),</w:t>
      </w:r>
      <w:r w:rsidRPr="00BF2799">
        <w:rPr>
          <w:rFonts w:eastAsia="Gulliver"/>
          <w:lang w:eastAsia="es-ES"/>
        </w:rPr>
        <w:t xml:space="preserve"> siempre que esté indicada la determinación de isquemia miocárdica. En estos pacientes se debe valorar sus características clínicas para la indicación de un estrés físico o farmacológico.</w:t>
      </w:r>
      <w:r w:rsidRPr="00BF2799">
        <w:rPr>
          <w:vertAlign w:val="superscript"/>
          <w:lang w:val="es-ES_tradnl"/>
        </w:rPr>
        <w:t>6,</w:t>
      </w:r>
      <w:r>
        <w:rPr>
          <w:vertAlign w:val="superscript"/>
          <w:lang w:val="es-ES_tradnl"/>
        </w:rPr>
        <w:t xml:space="preserve"> </w:t>
      </w:r>
      <w:r w:rsidRPr="00BF2799">
        <w:rPr>
          <w:vertAlign w:val="superscript"/>
          <w:lang w:val="es-ES_tradnl"/>
        </w:rPr>
        <w:t>17,</w:t>
      </w:r>
      <w:r>
        <w:rPr>
          <w:vertAlign w:val="superscript"/>
          <w:lang w:val="es-ES_tradnl"/>
        </w:rPr>
        <w:t xml:space="preserve"> </w:t>
      </w:r>
      <w:r w:rsidRPr="00BF2799">
        <w:rPr>
          <w:vertAlign w:val="superscript"/>
          <w:lang w:val="es-ES_tradnl"/>
        </w:rPr>
        <w:t>18,</w:t>
      </w:r>
      <w:r>
        <w:rPr>
          <w:vertAlign w:val="superscript"/>
          <w:lang w:val="es-ES_tradnl"/>
        </w:rPr>
        <w:t xml:space="preserve"> 21</w:t>
      </w:r>
    </w:p>
    <w:p w:rsidR="000773A3" w:rsidRPr="00BF2799" w:rsidRDefault="000773A3" w:rsidP="000773A3">
      <w:pPr>
        <w:spacing w:line="480" w:lineRule="auto"/>
        <w:rPr>
          <w:b/>
        </w:rPr>
      </w:pPr>
      <w:r w:rsidRPr="00BF2799">
        <w:rPr>
          <w:b/>
        </w:rPr>
        <w:t>1.3 Tomografía computarizada por emisión de fotón único</w:t>
      </w:r>
      <w:r w:rsidR="0007421A">
        <w:rPr>
          <w:b/>
        </w:rPr>
        <w:t xml:space="preserve"> </w:t>
      </w:r>
      <w:r w:rsidRPr="00BF2799">
        <w:rPr>
          <w:b/>
        </w:rPr>
        <w:t>(SPECT).</w:t>
      </w:r>
    </w:p>
    <w:p w:rsidR="000773A3" w:rsidRPr="00BF2799" w:rsidRDefault="000773A3" w:rsidP="000773A3">
      <w:pPr>
        <w:spacing w:line="480" w:lineRule="auto"/>
      </w:pPr>
      <w:r w:rsidRPr="00BF2799">
        <w:t xml:space="preserve">La técnica de imagen que más se realiza en cardiología nuclear es la perfusión miocárdica por SPECT. Tras la inyección del radiofármaco escogido, los </w:t>
      </w:r>
      <w:proofErr w:type="spellStart"/>
      <w:r w:rsidRPr="00BF2799">
        <w:t>miocitos</w:t>
      </w:r>
      <w:proofErr w:type="spellEnd"/>
      <w:r w:rsidRPr="00BF2799">
        <w:t xml:space="preserve"> viables extraen el isótopo de la sangre y lo retienen durante un cierto período. El miocardio emite fotones en proporción a la captación del marcador, lo que a su vez se relaciona con la perfusión. Con las pruebas de image</w:t>
      </w:r>
      <w:r>
        <w:t>n de perfusión miocárdicas</w:t>
      </w:r>
      <w:r w:rsidRPr="00BF2799">
        <w:t>, mediante SPECT, la imagen obtenida representa la distribución de la perfusión a través del miocardio.</w:t>
      </w:r>
      <w:r w:rsidRPr="00BF2799">
        <w:rPr>
          <w:vertAlign w:val="superscript"/>
          <w:lang w:val="es-ES_tradnl"/>
        </w:rPr>
        <w:t>1</w:t>
      </w:r>
      <w:r>
        <w:rPr>
          <w:vertAlign w:val="superscript"/>
          <w:lang w:val="es-ES_tradnl"/>
        </w:rPr>
        <w:t>0, 1</w:t>
      </w:r>
      <w:r w:rsidRPr="00BF2799">
        <w:rPr>
          <w:vertAlign w:val="superscript"/>
          <w:lang w:val="es-ES_tradnl"/>
        </w:rPr>
        <w:t>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b/>
          <w:iCs/>
          <w:lang w:eastAsia="es-ES"/>
        </w:rPr>
      </w:pPr>
      <w:r w:rsidRPr="00BF2799">
        <w:rPr>
          <w:b/>
          <w:iCs/>
          <w:lang w:eastAsia="es-ES"/>
        </w:rPr>
        <w:lastRenderedPageBreak/>
        <w:t>1.3.1 Indicaciones de los estudios de perfusión miocárdica mediante SPECT.</w:t>
      </w:r>
    </w:p>
    <w:p w:rsidR="000773A3" w:rsidRPr="00BF2799" w:rsidRDefault="000773A3" w:rsidP="000773A3">
      <w:pPr>
        <w:autoSpaceDE w:val="0"/>
        <w:autoSpaceDN w:val="0"/>
        <w:adjustRightInd w:val="0"/>
        <w:spacing w:line="480" w:lineRule="auto"/>
        <w:rPr>
          <w:iCs/>
          <w:lang w:eastAsia="es-ES"/>
        </w:rPr>
      </w:pPr>
      <w:r w:rsidRPr="00BF2799">
        <w:rPr>
          <w:iCs/>
          <w:lang w:eastAsia="es-ES"/>
        </w:rPr>
        <w:t>Desde 1999 hasta la actualidad se han publicado guías de medicina nuclear, consensos de imágenes no invasivas y artículos de revisión actualizando los protocolos de trabajo para determinar las indicaciones apropiadas para el uso de imágenes nucleares en la cardiopatía isquémica. De manera general se exponen a continuación:</w:t>
      </w:r>
      <w:r w:rsidRPr="00BF2799">
        <w:rPr>
          <w:vertAlign w:val="superscript"/>
          <w:lang w:val="es-ES_tradnl"/>
        </w:rPr>
        <w:t>8,</w:t>
      </w:r>
      <w:r>
        <w:rPr>
          <w:vertAlign w:val="superscript"/>
          <w:lang w:val="es-ES_tradnl"/>
        </w:rPr>
        <w:t xml:space="preserve"> 10, 11, 19</w:t>
      </w:r>
      <w:r w:rsidRPr="00BF2799">
        <w:rPr>
          <w:vertAlign w:val="superscript"/>
          <w:lang w:val="es-ES_tradnl"/>
        </w:rPr>
        <w:t>,</w:t>
      </w:r>
      <w:r>
        <w:rPr>
          <w:vertAlign w:val="superscript"/>
          <w:lang w:val="es-ES_tradnl"/>
        </w:rPr>
        <w:t xml:space="preserve"> 27- 29</w:t>
      </w:r>
    </w:p>
    <w:p w:rsidR="000773A3" w:rsidRPr="00BF2799" w:rsidRDefault="000773A3" w:rsidP="000773A3">
      <w:pPr>
        <w:autoSpaceDE w:val="0"/>
        <w:autoSpaceDN w:val="0"/>
        <w:adjustRightInd w:val="0"/>
        <w:spacing w:line="480" w:lineRule="auto"/>
        <w:rPr>
          <w:iCs/>
          <w:lang w:eastAsia="es-ES"/>
        </w:rPr>
      </w:pPr>
      <w:r w:rsidRPr="00BF2799">
        <w:rPr>
          <w:b/>
          <w:iCs/>
          <w:lang w:eastAsia="es-ES"/>
        </w:rPr>
        <w:t>Diagnóstico de EC:</w:t>
      </w:r>
      <w:r w:rsidRPr="00BF2799">
        <w:rPr>
          <w:iCs/>
          <w:lang w:eastAsia="es-ES"/>
        </w:rPr>
        <w:t xml:space="preserve"> La principal indicación es en poblaciones de riesgo clínico intermedio-alto de EC con sintoma</w:t>
      </w:r>
      <w:r>
        <w:rPr>
          <w:iCs/>
          <w:lang w:eastAsia="es-ES"/>
        </w:rPr>
        <w:t>tología y/o examen</w:t>
      </w:r>
      <w:r w:rsidRPr="00BF2799">
        <w:rPr>
          <w:iCs/>
          <w:lang w:eastAsia="es-ES"/>
        </w:rPr>
        <w:t xml:space="preserve"> de prueba de </w:t>
      </w:r>
      <w:r>
        <w:rPr>
          <w:iCs/>
          <w:lang w:eastAsia="es-ES"/>
        </w:rPr>
        <w:t>esfuerzo no concluyente</w:t>
      </w:r>
      <w:r w:rsidRPr="00BF2799">
        <w:rPr>
          <w:iCs/>
          <w:lang w:eastAsia="es-ES"/>
        </w:rPr>
        <w:t>. Seleccionando de una forma más adecuada los pacientes que serán derivados a estudio invasivo del árbol coronario. La sensibilidad y especificidad de los estudios SPECT de perfusión con estrés en diagnóstico de EC es de 80-85%.</w:t>
      </w:r>
      <w:r w:rsidRPr="00BF2799">
        <w:rPr>
          <w:vertAlign w:val="superscript"/>
          <w:lang w:val="es-ES_tradnl"/>
        </w:rPr>
        <w:t>17</w:t>
      </w:r>
      <w:r w:rsidRPr="00BF2799">
        <w:rPr>
          <w:iCs/>
          <w:lang w:eastAsia="es-ES"/>
        </w:rPr>
        <w:t xml:space="preserve"> Existen ciertos sub-grupos de pacientes que debieran considerarse como poblaciones especiales por su mayor riesgo de EC y que corresponden a los diabéticos asintomáticos, insuficientes renales crónicos, ancianos, enfermedad arterial periférica y aquellos con factores de riesgo no tradicionales añadidos. </w:t>
      </w:r>
    </w:p>
    <w:p w:rsidR="000773A3" w:rsidRPr="00843FBF" w:rsidRDefault="000773A3" w:rsidP="000773A3">
      <w:pPr>
        <w:pStyle w:val="Ttulo1"/>
        <w:spacing w:line="480" w:lineRule="auto"/>
        <w:jc w:val="both"/>
        <w:rPr>
          <w:b w:val="0"/>
          <w:iCs/>
          <w:spacing w:val="0"/>
          <w:sz w:val="24"/>
          <w:lang w:eastAsia="es-ES"/>
        </w:rPr>
      </w:pPr>
      <w:bookmarkStart w:id="27" w:name="_Toc18500372"/>
      <w:bookmarkStart w:id="28" w:name="_Toc21105911"/>
      <w:bookmarkStart w:id="29" w:name="_Toc21106341"/>
      <w:r w:rsidRPr="00BF2799">
        <w:rPr>
          <w:iCs/>
          <w:spacing w:val="0"/>
          <w:sz w:val="24"/>
          <w:lang w:eastAsia="es-ES"/>
        </w:rPr>
        <w:t xml:space="preserve">Evaluación </w:t>
      </w:r>
      <w:proofErr w:type="spellStart"/>
      <w:r w:rsidRPr="00BF2799">
        <w:rPr>
          <w:iCs/>
          <w:spacing w:val="0"/>
          <w:sz w:val="24"/>
          <w:lang w:eastAsia="es-ES"/>
        </w:rPr>
        <w:t>pronóstica</w:t>
      </w:r>
      <w:proofErr w:type="spellEnd"/>
      <w:r w:rsidRPr="00BF2799">
        <w:rPr>
          <w:iCs/>
          <w:spacing w:val="0"/>
          <w:sz w:val="24"/>
          <w:lang w:eastAsia="es-ES"/>
        </w:rPr>
        <w:t>:</w:t>
      </w:r>
      <w:r w:rsidRPr="00BF2799">
        <w:rPr>
          <w:b w:val="0"/>
          <w:iCs/>
          <w:spacing w:val="0"/>
          <w:sz w:val="24"/>
          <w:lang w:eastAsia="es-ES"/>
        </w:rPr>
        <w:t xml:space="preserve"> En este aspecto los estudios de SPECT miocárdico tienen gran utilidad en la práctica clínica. Se acepta que una perfusión en estrés normal puede predecir con certeza, una baja incidencia de eventos cardíacos mayores a largo plazo, bajo un 1% al año, especialmente si se usa esfuerzo como estresor. Si el estudio de perfusión es anormal, la tasa de </w:t>
      </w:r>
      <w:r w:rsidRPr="00BF2799">
        <w:rPr>
          <w:b w:val="0"/>
          <w:iCs/>
          <w:spacing w:val="0"/>
          <w:sz w:val="24"/>
          <w:lang w:eastAsia="es-ES"/>
        </w:rPr>
        <w:lastRenderedPageBreak/>
        <w:t>eventos cardíacos anual es sobre 6%, sobre todo si se demuestra isquemia significativa.</w:t>
      </w:r>
      <w:bookmarkEnd w:id="27"/>
      <w:bookmarkEnd w:id="28"/>
      <w:bookmarkEnd w:id="29"/>
    </w:p>
    <w:p w:rsidR="000773A3" w:rsidRPr="00BF2799" w:rsidRDefault="000773A3" w:rsidP="000773A3">
      <w:pPr>
        <w:pStyle w:val="Textoindependiente"/>
        <w:spacing w:line="480" w:lineRule="auto"/>
        <w:rPr>
          <w:iCs/>
          <w:spacing w:val="0"/>
          <w:lang w:eastAsia="es-ES"/>
        </w:rPr>
      </w:pPr>
      <w:r w:rsidRPr="00BF2799">
        <w:rPr>
          <w:b/>
          <w:iCs/>
          <w:spacing w:val="0"/>
          <w:lang w:eastAsia="es-ES"/>
        </w:rPr>
        <w:t>Evaluación de la repercusión funcional de EC conocida y estratificación de riesgo:</w:t>
      </w:r>
      <w:r w:rsidRPr="00BF2799">
        <w:rPr>
          <w:iCs/>
          <w:spacing w:val="0"/>
          <w:lang w:eastAsia="es-ES"/>
        </w:rPr>
        <w:t xml:space="preserve"> Esta indicación es tanto para determinar extensión y severidad de la EC, como para definir conducta terapéutica médica o de revascularización coronaria. Si se efectúa adquisición gatillada de estas imágenes se agrega valor pronóstico al evaluar simultáneamente parámetros de función sistólica ventricular izquierda, ampliamente validados.</w:t>
      </w:r>
    </w:p>
    <w:p w:rsidR="000773A3" w:rsidRPr="00BF2799" w:rsidRDefault="000773A3" w:rsidP="000773A3">
      <w:pPr>
        <w:pStyle w:val="Textoindependiente"/>
        <w:spacing w:line="480" w:lineRule="auto"/>
        <w:rPr>
          <w:iCs/>
          <w:spacing w:val="0"/>
          <w:lang w:eastAsia="es-ES"/>
        </w:rPr>
      </w:pPr>
      <w:r w:rsidRPr="00BF2799">
        <w:rPr>
          <w:b/>
          <w:iCs/>
          <w:spacing w:val="0"/>
          <w:lang w:eastAsia="es-ES"/>
        </w:rPr>
        <w:t>Detección de EAC y evaluación de riesgo coronario en pacientes que serán sometidos a cirugía no cardíaca:</w:t>
      </w:r>
      <w:r w:rsidRPr="00BF2799">
        <w:rPr>
          <w:iCs/>
          <w:spacing w:val="0"/>
          <w:lang w:eastAsia="es-ES"/>
        </w:rPr>
        <w:t xml:space="preserve"> Pacientes con riesgo de EAC que deban ser sometidos a intervenciones de mediano o alto riesgo anestésico y/o quirúrgico, pueden ser evaluados con seguridad mediante SPECT de perfusión miocárdica preoperatoria con protocolos de provocación de isquemia, que en general es de tipo farmacológica.</w:t>
      </w:r>
    </w:p>
    <w:p w:rsidR="000773A3" w:rsidRPr="00BF2799" w:rsidRDefault="000773A3" w:rsidP="000773A3">
      <w:pPr>
        <w:pStyle w:val="Textoindependiente"/>
        <w:spacing w:line="480" w:lineRule="auto"/>
        <w:rPr>
          <w:iCs/>
          <w:spacing w:val="0"/>
          <w:lang w:eastAsia="es-ES"/>
        </w:rPr>
      </w:pPr>
      <w:r w:rsidRPr="00BF2799">
        <w:rPr>
          <w:b/>
          <w:iCs/>
          <w:spacing w:val="0"/>
          <w:lang w:eastAsia="es-ES"/>
        </w:rPr>
        <w:t>Infarto de miocardio (IM):</w:t>
      </w:r>
      <w:r w:rsidRPr="00BF2799">
        <w:rPr>
          <w:iCs/>
          <w:spacing w:val="0"/>
          <w:lang w:eastAsia="es-ES"/>
        </w:rPr>
        <w:t xml:space="preserve"> En este caso, los estudios de perfusión miocárdica sirven tanto para confirmar presencia y magnitud de la lesión </w:t>
      </w:r>
      <w:proofErr w:type="spellStart"/>
      <w:r w:rsidRPr="00BF2799">
        <w:rPr>
          <w:iCs/>
          <w:spacing w:val="0"/>
          <w:lang w:eastAsia="es-ES"/>
        </w:rPr>
        <w:t>cicatrizal</w:t>
      </w:r>
      <w:proofErr w:type="spellEnd"/>
      <w:r w:rsidRPr="00BF2799">
        <w:rPr>
          <w:iCs/>
          <w:spacing w:val="0"/>
          <w:lang w:eastAsia="es-ES"/>
        </w:rPr>
        <w:t xml:space="preserve"> miocárdica, reconocer y cuantificar isquemia residual y los territorios coronarios involucrados, detectar y cuantificar la presencia de viabilidad miocárdica, evaluar resultados de revascularización quirúrgica o percutánea y también establecer pronóstico en casos de IM antiguo. </w:t>
      </w:r>
    </w:p>
    <w:p w:rsidR="000773A3" w:rsidRPr="00BF2799" w:rsidRDefault="000773A3" w:rsidP="000773A3">
      <w:pPr>
        <w:pStyle w:val="Ttulo1"/>
        <w:spacing w:line="480" w:lineRule="auto"/>
        <w:jc w:val="both"/>
        <w:rPr>
          <w:b w:val="0"/>
          <w:iCs/>
          <w:spacing w:val="0"/>
          <w:sz w:val="24"/>
          <w:lang w:eastAsia="es-ES"/>
        </w:rPr>
      </w:pPr>
      <w:bookmarkStart w:id="30" w:name="_Toc18500373"/>
      <w:bookmarkStart w:id="31" w:name="_Toc21105912"/>
      <w:bookmarkStart w:id="32" w:name="_Toc21106342"/>
      <w:r w:rsidRPr="00BF2799">
        <w:rPr>
          <w:iCs/>
          <w:spacing w:val="0"/>
          <w:sz w:val="24"/>
          <w:lang w:eastAsia="es-ES"/>
        </w:rPr>
        <w:t>Miocardiopatía isquémica:</w:t>
      </w:r>
      <w:r w:rsidRPr="00BF2799">
        <w:rPr>
          <w:b w:val="0"/>
          <w:iCs/>
          <w:spacing w:val="0"/>
          <w:sz w:val="24"/>
          <w:lang w:eastAsia="es-ES"/>
        </w:rPr>
        <w:t xml:space="preserve"> Es una patología frecuente entre los portadores de insuficiencia cardíaca congestiva. La revascularización coronaria completa en sujetos que aún tengan músculo viable es una alternativa terapéutica al </w:t>
      </w:r>
      <w:r w:rsidRPr="00BF2799">
        <w:rPr>
          <w:b w:val="0"/>
          <w:iCs/>
          <w:spacing w:val="0"/>
          <w:sz w:val="24"/>
          <w:lang w:eastAsia="es-ES"/>
        </w:rPr>
        <w:lastRenderedPageBreak/>
        <w:t>trasplante cardíaco. Los protocolos de perfusión miocárdica SPECT orientados a detectar con la máxima sensibilidad la presencia de viabilidad residual permiten reconocer territorios viables e isquémicos. En pacientes con fracción de eyección ventricular izquierda (FEVI) muy reducida (menor al 35%), sólo se pueden utilizar con seguridad protocolos de perfusión en reposo, sin estrés asociado.</w:t>
      </w:r>
      <w:bookmarkEnd w:id="30"/>
      <w:bookmarkEnd w:id="31"/>
      <w:bookmarkEnd w:id="32"/>
    </w:p>
    <w:p w:rsidR="000773A3" w:rsidRPr="00BF2799" w:rsidRDefault="000773A3" w:rsidP="000773A3">
      <w:pPr>
        <w:pStyle w:val="Ttulo1"/>
        <w:spacing w:line="480" w:lineRule="auto"/>
        <w:jc w:val="both"/>
        <w:rPr>
          <w:iCs/>
          <w:spacing w:val="0"/>
          <w:sz w:val="24"/>
          <w:lang w:eastAsia="es-ES"/>
        </w:rPr>
      </w:pPr>
      <w:bookmarkStart w:id="33" w:name="_Toc18500374"/>
      <w:bookmarkStart w:id="34" w:name="_Toc21105913"/>
      <w:bookmarkStart w:id="35" w:name="_Toc21106343"/>
      <w:r w:rsidRPr="00BF2799">
        <w:rPr>
          <w:iCs/>
          <w:spacing w:val="0"/>
          <w:sz w:val="24"/>
          <w:lang w:eastAsia="es-ES"/>
        </w:rPr>
        <w:t xml:space="preserve">1.3.2 La </w:t>
      </w:r>
      <w:proofErr w:type="spellStart"/>
      <w:r w:rsidRPr="00BF2799">
        <w:rPr>
          <w:iCs/>
          <w:spacing w:val="0"/>
          <w:sz w:val="24"/>
          <w:lang w:eastAsia="es-ES"/>
        </w:rPr>
        <w:t>gammacámara</w:t>
      </w:r>
      <w:proofErr w:type="spellEnd"/>
      <w:r w:rsidRPr="00BF2799">
        <w:rPr>
          <w:iCs/>
          <w:spacing w:val="0"/>
          <w:sz w:val="24"/>
          <w:lang w:eastAsia="es-ES"/>
        </w:rPr>
        <w:t xml:space="preserve"> del SPECT.</w:t>
      </w:r>
      <w:bookmarkEnd w:id="33"/>
      <w:bookmarkEnd w:id="34"/>
      <w:bookmarkEnd w:id="35"/>
    </w:p>
    <w:p w:rsidR="000773A3" w:rsidRPr="00BF2799" w:rsidRDefault="000773A3" w:rsidP="000773A3">
      <w:pPr>
        <w:autoSpaceDE w:val="0"/>
        <w:autoSpaceDN w:val="0"/>
        <w:adjustRightInd w:val="0"/>
        <w:spacing w:line="480" w:lineRule="auto"/>
        <w:rPr>
          <w:iCs/>
          <w:lang w:eastAsia="es-ES"/>
        </w:rPr>
      </w:pPr>
      <w:r w:rsidRPr="00BF2799">
        <w:t xml:space="preserve">La cámara estándar utilizada en los estudios de cardiología nuclear es una </w:t>
      </w:r>
      <w:proofErr w:type="spellStart"/>
      <w:r w:rsidRPr="00BF2799">
        <w:t>gammacámara</w:t>
      </w:r>
      <w:proofErr w:type="spellEnd"/>
      <w:r w:rsidRPr="00BF2799">
        <w:t>.</w:t>
      </w:r>
      <w:r w:rsidRPr="00BF2799">
        <w:rPr>
          <w:iCs/>
          <w:lang w:eastAsia="es-ES"/>
        </w:rPr>
        <w:t xml:space="preserve"> Se basa en un cristal de ioduro de sodio que emite luz al ser incidido por radiación gamma procedente del paciente, a quien se le ha administrado un radiofármaco.</w:t>
      </w:r>
      <w:r w:rsidRPr="00BF2799">
        <w:t xml:space="preserve"> Captura los fotones de rayos </w:t>
      </w:r>
      <w:r w:rsidRPr="00BF2799">
        <w:sym w:font="Symbol" w:char="F067"/>
      </w:r>
      <w:r w:rsidRPr="00BF2799">
        <w:t xml:space="preserve"> y convierte la información en datos digitales que representan la magnitud de la captación y la localización de la emisión.</w:t>
      </w:r>
      <w:r w:rsidRPr="00BF2799">
        <w:rPr>
          <w:iCs/>
          <w:lang w:eastAsia="es-ES"/>
        </w:rPr>
        <w:t xml:space="preserve"> Los estudios de cardiología nuclear se realizan principalmente con equipos </w:t>
      </w:r>
      <w:proofErr w:type="spellStart"/>
      <w:r w:rsidRPr="00BF2799">
        <w:rPr>
          <w:iCs/>
          <w:lang w:eastAsia="es-ES"/>
        </w:rPr>
        <w:t>tomográficos</w:t>
      </w:r>
      <w:proofErr w:type="spellEnd"/>
      <w:r w:rsidRPr="00BF2799">
        <w:rPr>
          <w:iCs/>
          <w:lang w:eastAsia="es-ES"/>
        </w:rPr>
        <w:t xml:space="preserve"> SPECT, los que al igual que los de tipo </w:t>
      </w:r>
      <w:proofErr w:type="spellStart"/>
      <w:r w:rsidRPr="00BF2799">
        <w:rPr>
          <w:iCs/>
          <w:lang w:eastAsia="es-ES"/>
        </w:rPr>
        <w:t>planar</w:t>
      </w:r>
      <w:proofErr w:type="spellEnd"/>
      <w:r w:rsidRPr="00BF2799">
        <w:rPr>
          <w:iCs/>
          <w:lang w:eastAsia="es-ES"/>
        </w:rPr>
        <w:t>, utilizan la señal electrocardiográfica y dividen cada ciclo cardíaco (onda R) en varios fragmentos temporales lo que permite el análisis de función ventricular izquierda. Los equipos con más de un detector tienen ventajas pues permiten estudios más cortos con menor probabilidad de movimiento del paciente durante la adquisición y además menor dosis. El SPECT asociado a un equipo de tomografía computada (SPECT-CT), llamado también equipo híbrido logra corregir atenuación por tejidos blandos lo que produce artefactos que disminuyen la especificidad del examen en presencia de EAC</w:t>
      </w:r>
      <w:r w:rsidRPr="00BF2799">
        <w:t>.</w:t>
      </w:r>
      <w:r w:rsidRPr="00BF2799">
        <w:rPr>
          <w:vertAlign w:val="superscript"/>
          <w:lang w:val="es-ES_tradnl"/>
        </w:rPr>
        <w:t xml:space="preserve"> 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421A" w:rsidRDefault="0007421A" w:rsidP="000773A3">
      <w:pPr>
        <w:autoSpaceDE w:val="0"/>
        <w:autoSpaceDN w:val="0"/>
        <w:adjustRightInd w:val="0"/>
        <w:spacing w:line="480" w:lineRule="auto"/>
        <w:rPr>
          <w:b/>
          <w:iCs/>
          <w:lang w:eastAsia="es-ES"/>
        </w:rPr>
      </w:pPr>
    </w:p>
    <w:p w:rsidR="0007421A" w:rsidRDefault="0007421A" w:rsidP="000773A3">
      <w:pPr>
        <w:autoSpaceDE w:val="0"/>
        <w:autoSpaceDN w:val="0"/>
        <w:adjustRightInd w:val="0"/>
        <w:spacing w:line="480" w:lineRule="auto"/>
        <w:rPr>
          <w:b/>
          <w:iCs/>
          <w:lang w:eastAsia="es-ES"/>
        </w:rPr>
      </w:pPr>
    </w:p>
    <w:p w:rsidR="000773A3" w:rsidRPr="00BF2799" w:rsidRDefault="000773A3" w:rsidP="000773A3">
      <w:pPr>
        <w:autoSpaceDE w:val="0"/>
        <w:autoSpaceDN w:val="0"/>
        <w:adjustRightInd w:val="0"/>
        <w:spacing w:line="480" w:lineRule="auto"/>
        <w:rPr>
          <w:b/>
          <w:iCs/>
          <w:lang w:eastAsia="es-ES"/>
        </w:rPr>
      </w:pPr>
      <w:r w:rsidRPr="00BF2799">
        <w:rPr>
          <w:b/>
          <w:iCs/>
          <w:lang w:eastAsia="es-ES"/>
        </w:rPr>
        <w:lastRenderedPageBreak/>
        <w:t>1.3.2 Marcadores de perfusión y protocolos de la SPECT.</w:t>
      </w:r>
    </w:p>
    <w:p w:rsidR="000773A3" w:rsidRPr="00BF2799" w:rsidRDefault="000773A3" w:rsidP="000773A3">
      <w:pPr>
        <w:spacing w:line="480" w:lineRule="auto"/>
        <w:rPr>
          <w:b/>
        </w:rPr>
      </w:pPr>
      <w:r w:rsidRPr="00BF2799">
        <w:rPr>
          <w:b/>
        </w:rPr>
        <w:t>Talio 201</w:t>
      </w:r>
    </w:p>
    <w:p w:rsidR="000773A3" w:rsidRPr="00BF2799" w:rsidRDefault="000773A3" w:rsidP="000773A3">
      <w:pPr>
        <w:autoSpaceDE w:val="0"/>
        <w:autoSpaceDN w:val="0"/>
        <w:adjustRightInd w:val="0"/>
        <w:spacing w:line="480" w:lineRule="auto"/>
        <w:rPr>
          <w:iCs/>
          <w:lang w:eastAsia="es-ES"/>
        </w:rPr>
      </w:pPr>
      <w:r>
        <w:t xml:space="preserve"> El talio 201 (</w:t>
      </w:r>
      <w:r>
        <w:rPr>
          <w:vertAlign w:val="superscript"/>
          <w:lang w:val="es-ES_tradnl"/>
        </w:rPr>
        <w:t>201</w:t>
      </w:r>
      <w:r w:rsidRPr="00BF2799">
        <w:t>Tl) se introdujo en los años setenta e impulsó la aplicación clínica de las imáge</w:t>
      </w:r>
      <w:r>
        <w:t>nes de perfusión miocárdica</w:t>
      </w:r>
      <w:r w:rsidRPr="00BF2799">
        <w:t xml:space="preserve"> como complemento a las pruebas de ejer</w:t>
      </w:r>
      <w:r>
        <w:t xml:space="preserve">cicio en cinta sin fin. El </w:t>
      </w:r>
      <w:r>
        <w:rPr>
          <w:vertAlign w:val="superscript"/>
          <w:lang w:val="es-ES_tradnl"/>
        </w:rPr>
        <w:t>201</w:t>
      </w:r>
      <w:r w:rsidRPr="00BF2799">
        <w:t>Tl es un catión monovalente con propiedades biológicas similares a las del potasio. Igual que el potasio es un catión intracelular importante en el músculo y prácticamente está ausente en</w:t>
      </w:r>
      <w:r>
        <w:t xml:space="preserve"> el tejido cicatricial, el </w:t>
      </w:r>
      <w:r>
        <w:rPr>
          <w:vertAlign w:val="superscript"/>
          <w:lang w:val="es-ES_tradnl"/>
        </w:rPr>
        <w:t>201</w:t>
      </w:r>
      <w:r w:rsidRPr="00BF2799">
        <w:t>Tl</w:t>
      </w:r>
      <w:r>
        <w:t xml:space="preserve"> </w:t>
      </w:r>
      <w:r w:rsidRPr="00BF2799">
        <w:t xml:space="preserve">es un radioisótopo adecuado para diferenciar el miocardio normal e isquémico del cicatrizado. Emite 80 </w:t>
      </w:r>
      <w:proofErr w:type="spellStart"/>
      <w:r w:rsidRPr="00BF2799">
        <w:t>keV</w:t>
      </w:r>
      <w:proofErr w:type="spellEnd"/>
      <w:r w:rsidRPr="00BF2799">
        <w:t xml:space="preserve"> de energía </w:t>
      </w:r>
      <w:proofErr w:type="spellStart"/>
      <w:r w:rsidRPr="00BF2799">
        <w:t>fotónica</w:t>
      </w:r>
      <w:proofErr w:type="spellEnd"/>
      <w:r w:rsidRPr="00BF2799">
        <w:t xml:space="preserve"> y tiene una semivida física de 73h. La captación miocárdica inicial tras la inyección </w:t>
      </w:r>
      <w:proofErr w:type="spellStart"/>
      <w:r w:rsidRPr="00BF2799">
        <w:t>i.v</w:t>
      </w:r>
      <w:proofErr w:type="spellEnd"/>
      <w:r w:rsidRPr="00BF2799">
        <w:t>. de talio es proporcional al flujo sanguíneo regional. La fracción de extracción de primer paso es alta, en torno al 85%. Se transporta a través de</w:t>
      </w:r>
      <w:r>
        <w:t xml:space="preserve"> </w:t>
      </w:r>
      <w:r w:rsidRPr="00BF2799">
        <w:t xml:space="preserve">la membrana celular del </w:t>
      </w:r>
      <w:proofErr w:type="spellStart"/>
      <w:r w:rsidRPr="00BF2799">
        <w:t>miocito</w:t>
      </w:r>
      <w:proofErr w:type="spellEnd"/>
      <w:r w:rsidRPr="00BF2799">
        <w:t xml:space="preserve"> por medio del sistema de transporte de la </w:t>
      </w:r>
      <w:proofErr w:type="spellStart"/>
      <w:r w:rsidRPr="00BF2799">
        <w:t>Na+K</w:t>
      </w:r>
      <w:proofErr w:type="spellEnd"/>
      <w:r w:rsidRPr="00BF2799">
        <w:t xml:space="preserve">+ adenosina </w:t>
      </w:r>
      <w:proofErr w:type="spellStart"/>
      <w:r w:rsidRPr="00BF2799">
        <w:t>trifosfatasa</w:t>
      </w:r>
      <w:proofErr w:type="spellEnd"/>
      <w:r w:rsidRPr="00BF2799">
        <w:t xml:space="preserve"> (</w:t>
      </w:r>
      <w:proofErr w:type="spellStart"/>
      <w:r w:rsidRPr="00BF2799">
        <w:t>ATPasa</w:t>
      </w:r>
      <w:proofErr w:type="spellEnd"/>
      <w:r w:rsidRPr="00BF2799">
        <w:t xml:space="preserve">) y por difusión facilitada. La concentración miocárdica máxima de talio se produce en los primeros 5 min siguientes a la inyección, con una eliminación rápida del comportamiento </w:t>
      </w:r>
      <w:proofErr w:type="spellStart"/>
      <w:r w:rsidRPr="00BF2799">
        <w:t>intravascular</w:t>
      </w:r>
      <w:proofErr w:type="spellEnd"/>
      <w:r w:rsidRPr="00BF2799">
        <w:t xml:space="preserve">. Aunque la captación inicial y distribución del talio son sobre todo función del flujo sanguíneo, la redistribución posterior del talio, que comienza en los 10-15 min siguientes a la inyección, no se relaciona con el flujo sino con la intensidad de eliminación miocárdica del talio, unido al gradiente de concentración de talio que hay entre los </w:t>
      </w:r>
      <w:proofErr w:type="spellStart"/>
      <w:r w:rsidRPr="00BF2799">
        <w:t>miocitos</w:t>
      </w:r>
      <w:proofErr w:type="spellEnd"/>
      <w:r w:rsidRPr="00BF2799">
        <w:t xml:space="preserve"> y la sangre.</w:t>
      </w:r>
      <w:r w:rsidRPr="00F319BD">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73A3" w:rsidRPr="00BF2799" w:rsidRDefault="000773A3" w:rsidP="000773A3">
      <w:pPr>
        <w:autoSpaceDE w:val="0"/>
        <w:autoSpaceDN w:val="0"/>
        <w:adjustRightInd w:val="0"/>
        <w:spacing w:line="480" w:lineRule="auto"/>
        <w:rPr>
          <w:iCs/>
          <w:lang w:eastAsia="es-ES"/>
        </w:rPr>
      </w:pPr>
      <w:r w:rsidRPr="00BF2799">
        <w:t>La eliminación del talio es más rápida desde el miocardio normal con una actividad alta de talio comparada con la actividad de talio reducida (miocardio isq</w:t>
      </w:r>
      <w:r>
        <w:t xml:space="preserve">uémico), un proceso denominado </w:t>
      </w:r>
      <w:r w:rsidRPr="00BF2799">
        <w:t xml:space="preserve">lavado diferencial. </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73A3" w:rsidRPr="00BF2799" w:rsidRDefault="000773A3" w:rsidP="000773A3">
      <w:pPr>
        <w:spacing w:line="480" w:lineRule="auto"/>
        <w:rPr>
          <w:b/>
        </w:rPr>
      </w:pPr>
      <w:r w:rsidRPr="00BF2799">
        <w:rPr>
          <w:b/>
        </w:rPr>
        <w:lastRenderedPageBreak/>
        <w:t xml:space="preserve"> Tecnecio-99m Tc</w:t>
      </w:r>
    </w:p>
    <w:p w:rsidR="000773A3" w:rsidRPr="00BF2799" w:rsidRDefault="000773A3" w:rsidP="000773A3">
      <w:pPr>
        <w:autoSpaceDE w:val="0"/>
        <w:autoSpaceDN w:val="0"/>
        <w:adjustRightInd w:val="0"/>
        <w:spacing w:line="480" w:lineRule="auto"/>
        <w:rPr>
          <w:iCs/>
          <w:lang w:eastAsia="es-ES"/>
        </w:rPr>
      </w:pPr>
      <w:r w:rsidRPr="00BF2799">
        <w:t xml:space="preserve">Los marcadores de perfusión miocárdica marcados con tecnecio Tc 99m se introdujeron en la clínica en los años noventa. El 99m Tc emite 140 </w:t>
      </w:r>
      <w:proofErr w:type="spellStart"/>
      <w:r w:rsidRPr="00BF2799">
        <w:t>keV</w:t>
      </w:r>
      <w:proofErr w:type="spellEnd"/>
      <w:r w:rsidRPr="00BF2799">
        <w:t xml:space="preserve"> de energía </w:t>
      </w:r>
      <w:proofErr w:type="spellStart"/>
      <w:r w:rsidRPr="00BF2799">
        <w:t>fotónica</w:t>
      </w:r>
      <w:proofErr w:type="spellEnd"/>
      <w:r w:rsidRPr="00BF2799">
        <w:t xml:space="preserve"> y tiene una semivida física de 6h. A pesar de la excelente extracción miocárdica y propiedades cinéticas de flujo del talio, su espectro de energía de 80 </w:t>
      </w:r>
      <w:proofErr w:type="spellStart"/>
      <w:r w:rsidRPr="00BF2799">
        <w:t>keV</w:t>
      </w:r>
      <w:proofErr w:type="spellEnd"/>
      <w:r w:rsidRPr="00BF2799">
        <w:t xml:space="preserve"> es </w:t>
      </w:r>
      <w:proofErr w:type="spellStart"/>
      <w:r w:rsidRPr="00BF2799">
        <w:t>subóptimo</w:t>
      </w:r>
      <w:proofErr w:type="spellEnd"/>
      <w:r w:rsidRPr="00BF2799">
        <w:t xml:space="preserve"> para las </w:t>
      </w:r>
      <w:proofErr w:type="spellStart"/>
      <w:r w:rsidRPr="00BF2799">
        <w:t>gammacámaras</w:t>
      </w:r>
      <w:proofErr w:type="spellEnd"/>
      <w:r w:rsidRPr="00BF2799">
        <w:t xml:space="preserve"> tradicionales (</w:t>
      </w:r>
      <w:proofErr w:type="spellStart"/>
      <w:r w:rsidRPr="00BF2799">
        <w:t>fotópico</w:t>
      </w:r>
      <w:proofErr w:type="spellEnd"/>
      <w:r w:rsidRPr="00BF2799">
        <w:t xml:space="preserve"> ideal en 140 </w:t>
      </w:r>
      <w:proofErr w:type="spellStart"/>
      <w:r w:rsidRPr="00BF2799">
        <w:t>keV</w:t>
      </w:r>
      <w:proofErr w:type="spellEnd"/>
      <w:r w:rsidRPr="00BF2799">
        <w:t>). Además, la semivida física larga del talio (73 h) limita la cantidad de talio que puede administrarse para mantenerse dentro de parámetros aceptables de exposición.</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73A3" w:rsidRPr="00BF2799" w:rsidRDefault="000773A3" w:rsidP="000773A3">
      <w:pPr>
        <w:autoSpaceDE w:val="0"/>
        <w:autoSpaceDN w:val="0"/>
        <w:adjustRightInd w:val="0"/>
        <w:spacing w:line="480" w:lineRule="auto"/>
        <w:rPr>
          <w:iCs/>
          <w:lang w:eastAsia="es-ES"/>
        </w:rPr>
      </w:pPr>
      <w:r w:rsidRPr="00BF2799">
        <w:t xml:space="preserve">Luego, los marcadores que tienen 99mTc mejoran </w:t>
      </w:r>
      <w:r>
        <w:t xml:space="preserve">estas dos limitaciones del </w:t>
      </w:r>
      <w:r>
        <w:rPr>
          <w:vertAlign w:val="superscript"/>
          <w:lang w:val="es-ES_tradnl"/>
        </w:rPr>
        <w:t>201</w:t>
      </w:r>
      <w:r w:rsidRPr="00BF2799">
        <w:t xml:space="preserve">Tl. Aunque la </w:t>
      </w:r>
      <w:proofErr w:type="spellStart"/>
      <w:r w:rsidRPr="00BF2799">
        <w:t>Food</w:t>
      </w:r>
      <w:proofErr w:type="spellEnd"/>
      <w:r w:rsidRPr="00BF2799">
        <w:t xml:space="preserve"> and </w:t>
      </w:r>
      <w:proofErr w:type="spellStart"/>
      <w:r w:rsidRPr="00BF2799">
        <w:t>Drug</w:t>
      </w:r>
      <w:proofErr w:type="spellEnd"/>
      <w:r w:rsidRPr="00BF2799">
        <w:t xml:space="preserve"> </w:t>
      </w:r>
      <w:proofErr w:type="spellStart"/>
      <w:r w:rsidRPr="00BF2799">
        <w:t>Administration</w:t>
      </w:r>
      <w:proofErr w:type="spellEnd"/>
      <w:r w:rsidRPr="00BF2799">
        <w:t xml:space="preserve"> (FDA) estadounidense ha autorizado tres marcadores que tienen 99mTc (</w:t>
      </w:r>
      <w:proofErr w:type="spellStart"/>
      <w:r w:rsidRPr="00BF2799">
        <w:t>sestamibi</w:t>
      </w:r>
      <w:proofErr w:type="spellEnd"/>
      <w:r w:rsidRPr="00BF2799">
        <w:t xml:space="preserve">, </w:t>
      </w:r>
      <w:proofErr w:type="spellStart"/>
      <w:r w:rsidRPr="00BF2799">
        <w:t>teboroxima</w:t>
      </w:r>
      <w:proofErr w:type="spellEnd"/>
      <w:r w:rsidRPr="00BF2799">
        <w:t xml:space="preserve"> y </w:t>
      </w:r>
      <w:proofErr w:type="spellStart"/>
      <w:r w:rsidRPr="00BF2799">
        <w:t>tetrofosmina</w:t>
      </w:r>
      <w:proofErr w:type="spellEnd"/>
      <w:r w:rsidRPr="00BF2799">
        <w:t xml:space="preserve">) para detectar la EAC, solo disponemos en la actualidad de </w:t>
      </w:r>
      <w:proofErr w:type="spellStart"/>
      <w:r w:rsidRPr="00BF2799">
        <w:t>sestamibi</w:t>
      </w:r>
      <w:proofErr w:type="spellEnd"/>
      <w:r w:rsidRPr="00BF2799">
        <w:t xml:space="preserve"> y </w:t>
      </w:r>
      <w:proofErr w:type="spellStart"/>
      <w:r w:rsidRPr="00BF2799">
        <w:t>teboroxima</w:t>
      </w:r>
      <w:proofErr w:type="spellEnd"/>
      <w:r w:rsidRPr="00BF2799">
        <w:t xml:space="preserve"> para la clínica.</w:t>
      </w:r>
      <w:r w:rsidRPr="000D5B3F">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73A3" w:rsidRPr="00BF2799" w:rsidRDefault="000773A3" w:rsidP="000773A3">
      <w:pPr>
        <w:autoSpaceDE w:val="0"/>
        <w:autoSpaceDN w:val="0"/>
        <w:adjustRightInd w:val="0"/>
        <w:spacing w:line="480" w:lineRule="auto"/>
        <w:rPr>
          <w:iCs/>
          <w:lang w:eastAsia="es-ES"/>
        </w:rPr>
      </w:pPr>
      <w:proofErr w:type="spellStart"/>
      <w:r w:rsidRPr="00BF2799">
        <w:t>Sestamibi</w:t>
      </w:r>
      <w:proofErr w:type="spellEnd"/>
      <w:r>
        <w:t xml:space="preserve"> </w:t>
      </w:r>
      <w:r w:rsidRPr="00BF2799">
        <w:t xml:space="preserve">(MIBI) y </w:t>
      </w:r>
      <w:proofErr w:type="spellStart"/>
      <w:r w:rsidRPr="00BF2799">
        <w:t>tetrofosmina</w:t>
      </w:r>
      <w:proofErr w:type="spellEnd"/>
      <w:r w:rsidRPr="00BF2799">
        <w:t xml:space="preserve"> son compuestos catiónicos liposolubles con una fracción de extracción de primer paso en torno al 60%. La captación miocárdica y cinética de eliminación de ambos marcadores son similares. Atraviesan las membranas de los </w:t>
      </w:r>
      <w:proofErr w:type="spellStart"/>
      <w:r w:rsidRPr="00BF2799">
        <w:t>miocitos</w:t>
      </w:r>
      <w:proofErr w:type="spellEnd"/>
      <w:r w:rsidRPr="00BF2799">
        <w:t xml:space="preserve"> mediante una distribución pasiva impulsados por el gradiente electroquímico transmembrana, y se retienen dentro de la mitocondria. Existe una redistribución mínima de estos marcadores comparados con el</w:t>
      </w:r>
      <w:r>
        <w:t xml:space="preserve"> </w:t>
      </w:r>
      <w:r>
        <w:rPr>
          <w:vertAlign w:val="superscript"/>
          <w:lang w:val="es-ES_tradnl"/>
        </w:rPr>
        <w:t>201</w:t>
      </w:r>
      <w:r w:rsidRPr="00BF2799">
        <w:t>Tl. De este modo, los estudios de perfusión miocárdica con marcadores con 99mTc requieren dos inyecciones separadas, una con sobrecarga máxima y la segunda en reposo.</w:t>
      </w:r>
      <w:r>
        <w:t xml:space="preserve"> </w:t>
      </w:r>
      <w:r w:rsidRPr="00BF2799">
        <w:rPr>
          <w:rFonts w:eastAsia="Gulliver"/>
          <w:lang w:eastAsia="es-ES"/>
        </w:rPr>
        <w:t xml:space="preserve">Los compuestos de 99mTc son los trazadores más utilizados en la SPECT, asociada a pruebas de esfuerzo en </w:t>
      </w:r>
      <w:r w:rsidRPr="00BF2799">
        <w:rPr>
          <w:rFonts w:eastAsia="Gulliver"/>
          <w:lang w:eastAsia="es-ES"/>
        </w:rPr>
        <w:lastRenderedPageBreak/>
        <w:t>bic</w:t>
      </w:r>
      <w:r>
        <w:rPr>
          <w:rFonts w:eastAsia="Gulliver"/>
          <w:lang w:eastAsia="es-ES"/>
        </w:rPr>
        <w:t xml:space="preserve">icleta o cinta sin fin. El </w:t>
      </w:r>
      <w:r>
        <w:rPr>
          <w:vertAlign w:val="superscript"/>
          <w:lang w:val="es-ES_tradnl"/>
        </w:rPr>
        <w:t>201</w:t>
      </w:r>
      <w:r w:rsidRPr="00BF2799">
        <w:t>Tl</w:t>
      </w:r>
      <w:r w:rsidRPr="00BF2799">
        <w:rPr>
          <w:rFonts w:eastAsia="Gulliver"/>
          <w:lang w:eastAsia="es-ES"/>
        </w:rPr>
        <w:t xml:space="preserve"> conlleva mayor radiación, por lo que se utiliza con menos frecuencia. Las nuevas cámaras de SPECT reducen significativamente la radiación y el tiempo de adquisición.</w:t>
      </w:r>
      <w:r w:rsidRPr="00F319BD">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24, 27-29</w:t>
      </w:r>
    </w:p>
    <w:p w:rsidR="000773A3" w:rsidRPr="00BF2799" w:rsidRDefault="000773A3" w:rsidP="000773A3">
      <w:pPr>
        <w:autoSpaceDE w:val="0"/>
        <w:autoSpaceDN w:val="0"/>
        <w:adjustRightInd w:val="0"/>
        <w:spacing w:line="480" w:lineRule="auto"/>
        <w:rPr>
          <w:b/>
          <w:iCs/>
          <w:lang w:eastAsia="es-ES"/>
        </w:rPr>
      </w:pPr>
      <w:r w:rsidRPr="00BF2799">
        <w:rPr>
          <w:b/>
          <w:iCs/>
          <w:lang w:eastAsia="es-ES"/>
        </w:rPr>
        <w:t>1.3.3 Tipos de estrés utilizados en cardiología nuclear</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Las pruebas de estrés con imagen cardiaca se realizan por más de 40 años para el diagnóstico de CI en pacientes con clínica sospechosa de esta enfermedad. También se usan para establecer el pronóstico y estratificar el riego de eventos cardiacos mortales en el futuro en pacientes con EAC conocida.</w:t>
      </w:r>
      <w:r>
        <w:rPr>
          <w:vertAlign w:val="superscript"/>
          <w:lang w:val="es-ES_tradnl"/>
        </w:rPr>
        <w:t>21, 27</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Se realizan utilizando protocolos que logren un consumo miocárdico de oxígeno adecuado y alcanzando frecuencias cardíacas mayores a 85% de la máxima teórica. Lo ideal es preferir el ejercicio físico graduado como agente de estrés, a lo que se asocia el valor agregado intrínseco del estudio de ergometría. En los casos en que sea difícil lograr esto, se requiere usar fármacos: vasodilatadores e </w:t>
      </w:r>
      <w:proofErr w:type="spellStart"/>
      <w:r w:rsidRPr="00BF2799">
        <w:rPr>
          <w:rFonts w:eastAsia="Gulliver"/>
          <w:lang w:eastAsia="es-ES"/>
        </w:rPr>
        <w:t>inótropos</w:t>
      </w:r>
      <w:proofErr w:type="spellEnd"/>
      <w:r w:rsidRPr="00BF2799">
        <w:rPr>
          <w:rFonts w:eastAsia="Gulliver"/>
          <w:lang w:eastAsia="es-ES"/>
        </w:rPr>
        <w:t xml:space="preserve"> intravenosos.</w:t>
      </w:r>
      <w:r w:rsidRPr="00BF2799">
        <w:rPr>
          <w:vertAlign w:val="superscript"/>
          <w:lang w:val="es-ES_tradnl"/>
        </w:rPr>
        <w:t>8</w:t>
      </w:r>
    </w:p>
    <w:p w:rsidR="000773A3" w:rsidRPr="00BF2799" w:rsidRDefault="000773A3" w:rsidP="000773A3">
      <w:pPr>
        <w:autoSpaceDE w:val="0"/>
        <w:autoSpaceDN w:val="0"/>
        <w:adjustRightInd w:val="0"/>
        <w:spacing w:line="480" w:lineRule="auto"/>
        <w:rPr>
          <w:rFonts w:eastAsia="Gulliver"/>
          <w:lang w:eastAsia="es-ES"/>
        </w:rPr>
      </w:pPr>
      <w:r w:rsidRPr="00BF2799">
        <w:rPr>
          <w:b/>
          <w:iCs/>
          <w:lang w:eastAsia="es-ES"/>
        </w:rPr>
        <w:t>Protocolos de estrés con ejercicio físico:</w:t>
      </w:r>
      <w:r w:rsidRPr="00BF2799">
        <w:rPr>
          <w:iCs/>
          <w:lang w:eastAsia="es-ES"/>
        </w:rPr>
        <w:t xml:space="preserve"> Se utilizan los protocolos estándar de Bruce, Bruce modificado o </w:t>
      </w:r>
      <w:proofErr w:type="spellStart"/>
      <w:r w:rsidRPr="00BF2799">
        <w:rPr>
          <w:iCs/>
          <w:lang w:eastAsia="es-ES"/>
        </w:rPr>
        <w:t>Naughton</w:t>
      </w:r>
      <w:proofErr w:type="spellEnd"/>
      <w:r w:rsidRPr="00BF2799">
        <w:rPr>
          <w:iCs/>
          <w:lang w:eastAsia="es-ES"/>
        </w:rPr>
        <w:t xml:space="preserve"> en banda continua idealmente, o en su ausencia, en bicicleta </w:t>
      </w:r>
      <w:proofErr w:type="spellStart"/>
      <w:r w:rsidRPr="00BF2799">
        <w:rPr>
          <w:iCs/>
          <w:lang w:eastAsia="es-ES"/>
        </w:rPr>
        <w:t>ergométrica</w:t>
      </w:r>
      <w:proofErr w:type="spellEnd"/>
      <w:r w:rsidRPr="00BF2799">
        <w:rPr>
          <w:iCs/>
          <w:lang w:eastAsia="es-ES"/>
        </w:rPr>
        <w:t xml:space="preserve">, similar a la </w:t>
      </w:r>
      <w:r>
        <w:rPr>
          <w:iCs/>
          <w:lang w:eastAsia="es-ES"/>
        </w:rPr>
        <w:t xml:space="preserve">prueba de esfuerzo tradicional, </w:t>
      </w:r>
      <w:r w:rsidRPr="00BF2799">
        <w:rPr>
          <w:iCs/>
          <w:lang w:eastAsia="es-ES"/>
        </w:rPr>
        <w:t>cuyas contraindicaciones son ampliamente conocid</w:t>
      </w:r>
      <w:r>
        <w:rPr>
          <w:iCs/>
          <w:lang w:eastAsia="es-ES"/>
        </w:rPr>
        <w:t>as</w:t>
      </w:r>
      <w:r w:rsidRPr="00BF2799">
        <w:rPr>
          <w:iCs/>
          <w:lang w:eastAsia="es-ES"/>
        </w:rPr>
        <w:t xml:space="preserve">. Se debiera evitar el beta-bloqueo y uso de </w:t>
      </w:r>
      <w:proofErr w:type="spellStart"/>
      <w:r w:rsidRPr="00BF2799">
        <w:rPr>
          <w:iCs/>
          <w:lang w:eastAsia="es-ES"/>
        </w:rPr>
        <w:t>antianginosos</w:t>
      </w:r>
      <w:proofErr w:type="spellEnd"/>
      <w:r w:rsidRPr="00BF2799">
        <w:rPr>
          <w:iCs/>
          <w:lang w:eastAsia="es-ES"/>
        </w:rPr>
        <w:t xml:space="preserve"> que enmascaren la isquemia o impidan alcanzar una frecuencia cardíaca satisfactoria o un consumo de oxígeno superior a 5 METS, con suspensión </w:t>
      </w:r>
      <w:r>
        <w:rPr>
          <w:iCs/>
          <w:lang w:eastAsia="es-ES"/>
        </w:rPr>
        <w:t>previa de al menos 24-48 horas. S</w:t>
      </w:r>
      <w:r w:rsidRPr="00BF2799">
        <w:rPr>
          <w:iCs/>
          <w:lang w:eastAsia="es-ES"/>
        </w:rPr>
        <w:t>i esto no es posible se debe e</w:t>
      </w:r>
      <w:r>
        <w:rPr>
          <w:iCs/>
          <w:lang w:eastAsia="es-ES"/>
        </w:rPr>
        <w:t>fectuar protocolo vasodilatador</w:t>
      </w:r>
      <w:r w:rsidRPr="00BF2799">
        <w:rPr>
          <w:iCs/>
          <w:lang w:eastAsia="es-ES"/>
        </w:rPr>
        <w:t>.</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lang w:eastAsia="es-ES"/>
        </w:rPr>
        <w:lastRenderedPageBreak/>
        <w:t>Al alcanzar los parámetros hemodinámicos máximos previstos según edad, se inyecta el radioisótopo seleccionado y se mantiene el ejercicio, al menos por 30-60 segundos adicionales. Esta prueba debe ser monitorizada con equipamiento y entrenamiento en resucitación para seguridad del paciente. El nivel de ejercicio alcanzado influye en el rendimiento de la prueba; cuando éste es inferior a 5 equivalentes metabólicos o METS y/o el 85% de la frecuencia cardíaca máxima (FCMT) predicha según edad, disminuye la sensibilidad para pesquisar EAC, incluso hasta en 15-20%, afectando además la evaluación del grado de isquemia.</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rFonts w:eastAsia="Gulliver"/>
          <w:lang w:eastAsia="es-ES"/>
        </w:rPr>
      </w:pPr>
      <w:r w:rsidRPr="00BF2799">
        <w:rPr>
          <w:iCs/>
          <w:lang w:eastAsia="es-ES"/>
        </w:rPr>
        <w:t>Se puede administrar una dosis de atropina para llegar a la frecuencia objetivo; si esto no ocurre, es recomendable detener la prueba de esfuerzo, esperar la recuperación del paciente e iniciar un protocolo de estrés farmacológico.</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Default="000773A3" w:rsidP="000773A3">
      <w:pPr>
        <w:autoSpaceDE w:val="0"/>
        <w:autoSpaceDN w:val="0"/>
        <w:adjustRightInd w:val="0"/>
        <w:spacing w:line="480" w:lineRule="auto"/>
        <w:rPr>
          <w:rFonts w:eastAsia="Gulliver"/>
          <w:lang w:eastAsia="es-ES"/>
        </w:rPr>
      </w:pPr>
      <w:r w:rsidRPr="00BF2799">
        <w:rPr>
          <w:rFonts w:eastAsia="Gulliver"/>
          <w:lang w:eastAsia="es-ES"/>
        </w:rPr>
        <w:t>Las pruebas de esfuerzo, comparadas con las pruebas de estrés farmacológico, reflejan mejor la capacidad física del paciente. En muchos casos se alcanzan niveles más altos de estrés cuando se utiliza el ejercicio para provocar la isquemia. Se obtiene una impresión más certera del nivel de ejercicio que causa la angina en las actividades diarias, aparte de la información adicional que aporta el ECG, que siempre se registra en paralelo.</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b/>
          <w:lang w:eastAsia="es-ES"/>
        </w:rPr>
        <w:t>La prueba de estrés farmacológico:</w:t>
      </w:r>
      <w:r w:rsidRPr="00BF2799">
        <w:rPr>
          <w:rFonts w:eastAsia="Gulliver"/>
          <w:lang w:eastAsia="es-ES"/>
        </w:rPr>
        <w:t xml:space="preserve"> está indicada para pacientes incapaces de realizar ejercicio adecuadamente o puede utilizarse como alternativa a la prueba de esfuerzo.</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lastRenderedPageBreak/>
        <w:t xml:space="preserve">Existen tres medicamentos con propiedades vasodilatadores coronarios que se emplean para las pruebas con estrés farmacológicos: </w:t>
      </w:r>
      <w:proofErr w:type="spellStart"/>
      <w:r w:rsidRPr="00BF2799">
        <w:rPr>
          <w:rFonts w:eastAsia="Gulliver"/>
          <w:lang w:eastAsia="es-ES"/>
        </w:rPr>
        <w:t>dipiridamol</w:t>
      </w:r>
      <w:proofErr w:type="spellEnd"/>
      <w:r w:rsidRPr="00BF2799">
        <w:rPr>
          <w:rFonts w:eastAsia="Gulliver"/>
          <w:lang w:eastAsia="es-ES"/>
        </w:rPr>
        <w:t xml:space="preserve">, adenosina, </w:t>
      </w:r>
      <w:proofErr w:type="spellStart"/>
      <w:r w:rsidRPr="00BF2799">
        <w:rPr>
          <w:rFonts w:eastAsia="Gulliver"/>
          <w:lang w:eastAsia="es-ES"/>
        </w:rPr>
        <w:t>regadenoson</w:t>
      </w:r>
      <w:proofErr w:type="spellEnd"/>
      <w:r w:rsidRPr="00BF2799">
        <w:rPr>
          <w:rFonts w:eastAsia="Gulliver"/>
          <w:lang w:eastAsia="es-ES"/>
        </w:rPr>
        <w:t>.</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rFonts w:eastAsia="Gulliver"/>
          <w:lang w:eastAsia="es-ES"/>
        </w:rPr>
        <w:t xml:space="preserve">Adenosina y </w:t>
      </w:r>
      <w:proofErr w:type="spellStart"/>
      <w:r w:rsidRPr="00BF2799">
        <w:rPr>
          <w:rFonts w:eastAsia="Gulliver"/>
          <w:lang w:eastAsia="es-ES"/>
        </w:rPr>
        <w:t>Dipiridamol</w:t>
      </w:r>
      <w:proofErr w:type="spellEnd"/>
      <w:r w:rsidRPr="00BF2799">
        <w:rPr>
          <w:rFonts w:eastAsia="Gulliver"/>
          <w:lang w:eastAsia="es-ES"/>
        </w:rPr>
        <w:t xml:space="preserve">: </w:t>
      </w:r>
      <w:r w:rsidRPr="00BF2799">
        <w:rPr>
          <w:iCs/>
          <w:lang w:eastAsia="es-ES"/>
        </w:rPr>
        <w:t xml:space="preserve">Aumentan los niveles de adenosina endógena que es un potente vasodilatador no selectivo (A1, A2a, A2b y A3) que actúa en arterias coronarias, bronquios y otros territorios vasculares. A nivel de territorio coronario se obtiene aumento de flujo de 4 a 5 veces sobre el nivel basal; vasos enfermos, que ya han usado su reserva vasodilatadora, aumentan proporcionalmente menos el flujo respecto a los sanos y, en raros casos incluso pueden disminuirlo por </w:t>
      </w:r>
      <w:r>
        <w:rPr>
          <w:iCs/>
          <w:lang w:eastAsia="es-ES"/>
        </w:rPr>
        <w:t xml:space="preserve">robo desde territorios vecinos. </w:t>
      </w:r>
      <w:r w:rsidRPr="00BF2799">
        <w:rPr>
          <w:iCs/>
          <w:lang w:eastAsia="es-ES"/>
        </w:rPr>
        <w:t>La vasodilatación de otros territorios produce efectos no deseados como: cefalea, mareo y bochornos. Los efectos cardiovasculares p</w:t>
      </w:r>
      <w:r>
        <w:rPr>
          <w:iCs/>
          <w:lang w:eastAsia="es-ES"/>
        </w:rPr>
        <w:t>ueden ser serios, aunque son</w:t>
      </w:r>
      <w:r w:rsidRPr="00BF2799">
        <w:rPr>
          <w:iCs/>
          <w:lang w:eastAsia="es-ES"/>
        </w:rPr>
        <w:t xml:space="preserve"> poc</w:t>
      </w:r>
      <w:r>
        <w:rPr>
          <w:iCs/>
          <w:lang w:eastAsia="es-ES"/>
        </w:rPr>
        <w:t>o frecuentes y</w:t>
      </w:r>
      <w:r w:rsidRPr="00BF2799">
        <w:rPr>
          <w:iCs/>
          <w:lang w:eastAsia="es-ES"/>
        </w:rPr>
        <w:t xml:space="preserve"> </w:t>
      </w:r>
      <w:proofErr w:type="spellStart"/>
      <w:r w:rsidRPr="00BF2799">
        <w:rPr>
          <w:iCs/>
          <w:lang w:eastAsia="es-ES"/>
        </w:rPr>
        <w:t>autolimitados</w:t>
      </w:r>
      <w:proofErr w:type="spellEnd"/>
      <w:r w:rsidRPr="00BF2799">
        <w:rPr>
          <w:iCs/>
          <w:lang w:eastAsia="es-ES"/>
        </w:rPr>
        <w:t xml:space="preserve">, siendo por lo tanto un protocolo demostradamente seguro. Entre las indicaciones de los vasodilatadores están todas las causas que impiden un adecuado nivel de ejercicio y el bloqueo completo de rama izquierda del Haz de </w:t>
      </w:r>
      <w:proofErr w:type="spellStart"/>
      <w:r w:rsidRPr="00BF2799">
        <w:rPr>
          <w:iCs/>
          <w:lang w:eastAsia="es-ES"/>
        </w:rPr>
        <w:t>His</w:t>
      </w:r>
      <w:proofErr w:type="spellEnd"/>
      <w:r w:rsidRPr="00BF2799">
        <w:rPr>
          <w:iCs/>
          <w:lang w:eastAsia="es-ES"/>
        </w:rPr>
        <w:t xml:space="preserve">, que puede producir falsos positivos en la pared </w:t>
      </w:r>
      <w:proofErr w:type="spellStart"/>
      <w:r w:rsidRPr="00BF2799">
        <w:rPr>
          <w:iCs/>
          <w:lang w:eastAsia="es-ES"/>
        </w:rPr>
        <w:t>se</w:t>
      </w:r>
      <w:r w:rsidR="00F53BCA">
        <w:rPr>
          <w:iCs/>
          <w:lang w:eastAsia="es-ES"/>
        </w:rPr>
        <w:t>ptal</w:t>
      </w:r>
      <w:proofErr w:type="spellEnd"/>
      <w:r w:rsidR="00F53BCA">
        <w:rPr>
          <w:iCs/>
          <w:lang w:eastAsia="es-ES"/>
        </w:rPr>
        <w:t xml:space="preserve"> con ejercicio. La dosis endovenosa</w:t>
      </w:r>
      <w:r w:rsidRPr="00BF2799">
        <w:rPr>
          <w:iCs/>
          <w:lang w:eastAsia="es-ES"/>
        </w:rPr>
        <w:t xml:space="preserve"> de </w:t>
      </w:r>
      <w:proofErr w:type="spellStart"/>
      <w:r w:rsidRPr="00BF2799">
        <w:rPr>
          <w:iCs/>
          <w:lang w:eastAsia="es-ES"/>
        </w:rPr>
        <w:t>dipiridamol</w:t>
      </w:r>
      <w:proofErr w:type="spellEnd"/>
      <w:r w:rsidRPr="00BF2799">
        <w:rPr>
          <w:iCs/>
          <w:lang w:eastAsia="es-ES"/>
        </w:rPr>
        <w:t xml:space="preserve"> es de 0,56 mg/kg en infusión de 4 min., la que podría ser aumentada con leve mayor proporción de efectos indeseados para mejorar teóricamente la sensibilidad del estudio. La ventaja de la adenosina es que es mejor tolerada por su corta vida media que permite, con la sola suspensión de la infusión, la desaparición de los efectos colaterales. Existen nuevos vasodilatadores con acción selectiva sobre receptores de adenosina A2a recientemente aprobados en Estados Unidos de América, entre </w:t>
      </w:r>
      <w:r w:rsidRPr="00BF2799">
        <w:rPr>
          <w:iCs/>
          <w:lang w:eastAsia="es-ES"/>
        </w:rPr>
        <w:lastRenderedPageBreak/>
        <w:t xml:space="preserve">ellos </w:t>
      </w:r>
      <w:proofErr w:type="spellStart"/>
      <w:r w:rsidRPr="00BF2799">
        <w:rPr>
          <w:iCs/>
          <w:lang w:eastAsia="es-ES"/>
        </w:rPr>
        <w:t>Binodenoson</w:t>
      </w:r>
      <w:proofErr w:type="spellEnd"/>
      <w:r w:rsidRPr="00BF2799">
        <w:rPr>
          <w:iCs/>
          <w:lang w:eastAsia="es-ES"/>
        </w:rPr>
        <w:t xml:space="preserve"> y </w:t>
      </w:r>
      <w:proofErr w:type="spellStart"/>
      <w:r w:rsidRPr="00BF2799">
        <w:rPr>
          <w:iCs/>
          <w:lang w:eastAsia="es-ES"/>
        </w:rPr>
        <w:t>Regadenoson</w:t>
      </w:r>
      <w:proofErr w:type="spellEnd"/>
      <w:r w:rsidRPr="00BF2799">
        <w:rPr>
          <w:iCs/>
          <w:lang w:eastAsia="es-ES"/>
        </w:rPr>
        <w:t xml:space="preserve"> que otorgan algunas ventajas comparativas, pero su costo aún es alto.</w:t>
      </w:r>
      <w:r w:rsidRPr="00BF2799">
        <w:rPr>
          <w:vertAlign w:val="superscript"/>
          <w:lang w:val="es-ES_tradnl"/>
        </w:rPr>
        <w:t xml:space="preserve"> 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rFonts w:eastAsia="Gulliver"/>
          <w:lang w:eastAsia="es-ES"/>
        </w:rPr>
      </w:pPr>
      <w:r w:rsidRPr="00BF2799">
        <w:rPr>
          <w:rFonts w:eastAsia="Gulliver"/>
          <w:lang w:eastAsia="es-ES"/>
        </w:rPr>
        <w:t xml:space="preserve"> La adenosina y el </w:t>
      </w:r>
      <w:proofErr w:type="spellStart"/>
      <w:r w:rsidRPr="00BF2799">
        <w:rPr>
          <w:rFonts w:eastAsia="Gulliver"/>
          <w:lang w:eastAsia="es-ES"/>
        </w:rPr>
        <w:t>dipiridamol</w:t>
      </w:r>
      <w:proofErr w:type="spellEnd"/>
      <w:r w:rsidRPr="00BF2799">
        <w:rPr>
          <w:rFonts w:eastAsia="Gulliver"/>
          <w:lang w:eastAsia="es-ES"/>
        </w:rPr>
        <w:t xml:space="preserve"> puede precipitar el broncoespasmo en pacientes asmáticos. </w:t>
      </w:r>
      <w:r w:rsidRPr="00BF2799">
        <w:rPr>
          <w:iCs/>
          <w:lang w:eastAsia="es-ES"/>
        </w:rPr>
        <w:t xml:space="preserve">Su antagonista es la </w:t>
      </w:r>
      <w:proofErr w:type="spellStart"/>
      <w:r w:rsidRPr="00BF2799">
        <w:rPr>
          <w:iCs/>
          <w:lang w:eastAsia="es-ES"/>
        </w:rPr>
        <w:t>aminofilina</w:t>
      </w:r>
      <w:proofErr w:type="spellEnd"/>
      <w:r w:rsidRPr="00BF2799">
        <w:rPr>
          <w:iCs/>
          <w:lang w:eastAsia="es-ES"/>
        </w:rPr>
        <w:t xml:space="preserve"> </w:t>
      </w:r>
      <w:proofErr w:type="spellStart"/>
      <w:r w:rsidRPr="00BF2799">
        <w:rPr>
          <w:iCs/>
          <w:lang w:eastAsia="es-ES"/>
        </w:rPr>
        <w:t>i.v</w:t>
      </w:r>
      <w:proofErr w:type="spellEnd"/>
      <w:r w:rsidRPr="00BF2799">
        <w:rPr>
          <w:iCs/>
          <w:lang w:eastAsia="es-ES"/>
        </w:rPr>
        <w:t xml:space="preserve"> que revierte rápidamente la sintomatología asociada a uso. </w:t>
      </w:r>
      <w:r>
        <w:rPr>
          <w:iCs/>
          <w:lang w:eastAsia="es-ES"/>
        </w:rPr>
        <w:t>E</w:t>
      </w:r>
      <w:r w:rsidRPr="00BF2799">
        <w:rPr>
          <w:rFonts w:eastAsia="Gulliver"/>
          <w:lang w:eastAsia="es-ES"/>
        </w:rPr>
        <w:t xml:space="preserve">n esos casos puede emplearse </w:t>
      </w:r>
      <w:proofErr w:type="spellStart"/>
      <w:r w:rsidRPr="00BF2799">
        <w:rPr>
          <w:rFonts w:eastAsia="Gulliver"/>
          <w:lang w:eastAsia="es-ES"/>
        </w:rPr>
        <w:t>dobutamina</w:t>
      </w:r>
      <w:proofErr w:type="spellEnd"/>
      <w:r w:rsidRPr="00BF2799">
        <w:rPr>
          <w:rFonts w:eastAsia="Gulliver"/>
          <w:lang w:eastAsia="es-ES"/>
        </w:rPr>
        <w:t xml:space="preserve"> o </w:t>
      </w:r>
      <w:proofErr w:type="spellStart"/>
      <w:r w:rsidRPr="00BF2799">
        <w:rPr>
          <w:rFonts w:eastAsia="Gulliver"/>
          <w:lang w:eastAsia="es-ES"/>
        </w:rPr>
        <w:t>regadenoson</w:t>
      </w:r>
      <w:proofErr w:type="spellEnd"/>
      <w:r w:rsidRPr="00BF2799">
        <w:rPr>
          <w:rFonts w:eastAsia="Gulliver"/>
          <w:lang w:eastAsia="es-ES"/>
        </w:rPr>
        <w:t>, un agonista selectivo del receptor A2a como estresante alternativo.</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vertAlign w:val="superscript"/>
          <w:lang w:val="es-ES_tradnl"/>
        </w:rPr>
      </w:pPr>
      <w:r w:rsidRPr="00BF2799">
        <w:rPr>
          <w:iCs/>
          <w:lang w:eastAsia="es-ES"/>
        </w:rPr>
        <w:t xml:space="preserve">Drogas de Acción </w:t>
      </w:r>
      <w:proofErr w:type="spellStart"/>
      <w:r w:rsidRPr="00BF2799">
        <w:rPr>
          <w:iCs/>
          <w:lang w:eastAsia="es-ES"/>
        </w:rPr>
        <w:t>Inótropa</w:t>
      </w:r>
      <w:proofErr w:type="spellEnd"/>
      <w:r w:rsidRPr="00BF2799">
        <w:rPr>
          <w:iCs/>
          <w:lang w:eastAsia="es-ES"/>
        </w:rPr>
        <w:t xml:space="preserve">: Entre estas, la </w:t>
      </w:r>
      <w:proofErr w:type="spellStart"/>
      <w:r w:rsidRPr="00BF2799">
        <w:rPr>
          <w:iCs/>
          <w:lang w:eastAsia="es-ES"/>
        </w:rPr>
        <w:t>dobutamina</w:t>
      </w:r>
      <w:proofErr w:type="spellEnd"/>
      <w:r w:rsidRPr="00BF2799">
        <w:rPr>
          <w:iCs/>
          <w:lang w:eastAsia="es-ES"/>
        </w:rPr>
        <w:t xml:space="preserve"> es el fármaco utilizado en la actualidad si es que existe indicación de estrés farmacológico e impedimento para uso de vasodilatadores. Obtiene un real aumento de la contractilidad, del consumo de oxígeno y del flujo coronario miocárdicos. Sus contraindicaciones son conocidas; su aplicación requiere infusión continua con dosis escalonada, según protocolos usados en ecocardiografía de estrés farmacológico y sus efectos colaterales cardiovasculares pueden ser serios, especialmente arritmias.</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b/>
          <w:iCs/>
          <w:lang w:eastAsia="es-ES"/>
        </w:rPr>
      </w:pPr>
      <w:r w:rsidRPr="00BF2799">
        <w:rPr>
          <w:b/>
          <w:iCs/>
          <w:lang w:eastAsia="es-ES"/>
        </w:rPr>
        <w:t>Protocolos de perfusión más empleados en la actualidad:</w:t>
      </w:r>
    </w:p>
    <w:p w:rsidR="000773A3" w:rsidRPr="00BF2799" w:rsidRDefault="000773A3" w:rsidP="000773A3">
      <w:pPr>
        <w:autoSpaceDE w:val="0"/>
        <w:autoSpaceDN w:val="0"/>
        <w:adjustRightInd w:val="0"/>
        <w:spacing w:line="480" w:lineRule="auto"/>
        <w:rPr>
          <w:b/>
          <w:iCs/>
          <w:lang w:eastAsia="es-ES"/>
        </w:rPr>
      </w:pPr>
      <w:r w:rsidRPr="00BF2799">
        <w:rPr>
          <w:b/>
          <w:iCs/>
          <w:lang w:eastAsia="es-ES"/>
        </w:rPr>
        <w:t xml:space="preserve">1) Con provocación de isquemia </w:t>
      </w:r>
    </w:p>
    <w:p w:rsidR="000773A3" w:rsidRPr="00BF2799" w:rsidRDefault="000773A3" w:rsidP="000773A3">
      <w:pPr>
        <w:autoSpaceDE w:val="0"/>
        <w:autoSpaceDN w:val="0"/>
        <w:adjustRightInd w:val="0"/>
        <w:spacing w:line="480" w:lineRule="auto"/>
        <w:rPr>
          <w:iCs/>
          <w:u w:val="single"/>
          <w:lang w:eastAsia="es-ES"/>
        </w:rPr>
      </w:pPr>
      <w:r w:rsidRPr="00BF2799">
        <w:rPr>
          <w:iCs/>
          <w:u w:val="single"/>
          <w:lang w:eastAsia="es-ES"/>
        </w:rPr>
        <w:t>-Tecnecio99m-Sestamibi reposo-estrés o estrés-reposo.</w:t>
      </w:r>
      <w:r w:rsidRPr="00BF2799">
        <w:rPr>
          <w:iCs/>
          <w:lang w:eastAsia="es-ES"/>
        </w:rPr>
        <w:t xml:space="preserve"> Las imágenes pueden obtenerse el mismo día o en días sucesivos. En los protocolos de un día se recomienda iniciar con el estudio en re</w:t>
      </w:r>
      <w:r>
        <w:rPr>
          <w:iCs/>
          <w:lang w:eastAsia="es-ES"/>
        </w:rPr>
        <w:t xml:space="preserve">poso a dosis bajas </w:t>
      </w:r>
      <w:r w:rsidRPr="00BF2799">
        <w:rPr>
          <w:iCs/>
          <w:lang w:eastAsia="es-ES"/>
        </w:rPr>
        <w:t xml:space="preserve">8-10 </w:t>
      </w:r>
      <w:proofErr w:type="spellStart"/>
      <w:r w:rsidRPr="00BF2799">
        <w:rPr>
          <w:iCs/>
          <w:lang w:eastAsia="es-ES"/>
        </w:rPr>
        <w:t>mCi</w:t>
      </w:r>
      <w:proofErr w:type="spellEnd"/>
      <w:r w:rsidRPr="00BF2799">
        <w:rPr>
          <w:iCs/>
          <w:lang w:eastAsia="es-ES"/>
        </w:rPr>
        <w:t xml:space="preserve"> y terminar con el estudio de estrés a dosis altas 25-30 </w:t>
      </w:r>
      <w:proofErr w:type="spellStart"/>
      <w:r w:rsidRPr="00BF2799">
        <w:rPr>
          <w:iCs/>
          <w:lang w:eastAsia="es-ES"/>
        </w:rPr>
        <w:t>mCi</w:t>
      </w:r>
      <w:proofErr w:type="spellEnd"/>
      <w:r w:rsidRPr="00BF2799">
        <w:rPr>
          <w:iCs/>
          <w:lang w:eastAsia="es-ES"/>
        </w:rPr>
        <w:t xml:space="preserve">. En casos en que logísticamente convenga comenzar con el estrés, la dosis inicial igualmente debe ser la más baja. En protocolo de 2 días, ambas dosis debieran ser no mayores cada una a 15 </w:t>
      </w:r>
      <w:proofErr w:type="spellStart"/>
      <w:r w:rsidRPr="00BF2799">
        <w:rPr>
          <w:iCs/>
          <w:lang w:eastAsia="es-ES"/>
        </w:rPr>
        <w:t>mCi</w:t>
      </w:r>
      <w:proofErr w:type="spellEnd"/>
      <w:r w:rsidRPr="00BF2799">
        <w:rPr>
          <w:iCs/>
          <w:lang w:eastAsia="es-ES"/>
        </w:rPr>
        <w:t xml:space="preserve"> para disminuir irradiación innecesaria del paciente. </w:t>
      </w:r>
      <w:r w:rsidRPr="00BF2799">
        <w:rPr>
          <w:iCs/>
          <w:lang w:eastAsia="es-ES"/>
        </w:rPr>
        <w:lastRenderedPageBreak/>
        <w:t>El tiempo entre la inyección y la adquisición de imágenes oscila entre 30 y 60 min con intervalo mínimo entre ambas inyecciones de 3 horas. Se ha considerado efectuar primero la fase de estrés y, si es normal, se podría omitir la fase de reposo con el fin de acortar el estudio y disminuir irradiación, aunque esta aproximación sólo debiera ser utilizada en casos de diagnóstico de EC preferentemente.</w:t>
      </w:r>
      <w:r w:rsidRPr="00BF2799">
        <w:rPr>
          <w:vertAlign w:val="superscript"/>
          <w:lang w:val="es-ES_tradnl"/>
        </w:rPr>
        <w:t>8,</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u w:val="single"/>
          <w:lang w:eastAsia="es-ES"/>
        </w:rPr>
        <w:t>-Tecnecio99m-Sestamibi en estrés y en reposo post nitratos</w:t>
      </w:r>
      <w:r w:rsidRPr="00BF2799">
        <w:rPr>
          <w:iCs/>
          <w:lang w:eastAsia="es-ES"/>
        </w:rPr>
        <w:t>. Se sigue el protocolo anterior, pero con la administración adicional de nitratos vía sublingual (nitroglicerina, 0,5-1,0 mg) u oral (</w:t>
      </w:r>
      <w:proofErr w:type="spellStart"/>
      <w:r w:rsidRPr="00BF2799">
        <w:rPr>
          <w:iCs/>
          <w:lang w:eastAsia="es-ES"/>
        </w:rPr>
        <w:t>dinitrato</w:t>
      </w:r>
      <w:proofErr w:type="spellEnd"/>
      <w:r w:rsidRPr="00BF2799">
        <w:rPr>
          <w:iCs/>
          <w:lang w:eastAsia="es-ES"/>
        </w:rPr>
        <w:t xml:space="preserve"> de </w:t>
      </w:r>
      <w:proofErr w:type="spellStart"/>
      <w:r w:rsidRPr="00BF2799">
        <w:rPr>
          <w:iCs/>
          <w:lang w:eastAsia="es-ES"/>
        </w:rPr>
        <w:t>isosorbide</w:t>
      </w:r>
      <w:proofErr w:type="spellEnd"/>
      <w:r w:rsidRPr="00BF2799">
        <w:rPr>
          <w:iCs/>
          <w:lang w:eastAsia="es-ES"/>
        </w:rPr>
        <w:t xml:space="preserve">, 10 mg) a los 5 y 15 min respectivamente antes de la inyección de </w:t>
      </w:r>
      <w:proofErr w:type="spellStart"/>
      <w:r w:rsidRPr="00BF2799">
        <w:rPr>
          <w:iCs/>
          <w:lang w:eastAsia="es-ES"/>
        </w:rPr>
        <w:t>Sestamibi</w:t>
      </w:r>
      <w:proofErr w:type="spellEnd"/>
      <w:r w:rsidRPr="00BF2799">
        <w:rPr>
          <w:iCs/>
          <w:lang w:eastAsia="es-ES"/>
        </w:rPr>
        <w:t xml:space="preserve"> en reposo, en casos con evidencia de infarto o defecto en estrés. Los nitratos producen máxima vasodilatación coronaria en reposo, aumentando la sensibilidad del estudio para detección de viabilidad miocárdica.</w:t>
      </w:r>
      <w:r w:rsidRPr="00BF2799">
        <w:rPr>
          <w:vertAlign w:val="superscript"/>
          <w:lang w:val="es-ES_tradnl"/>
        </w:rPr>
        <w:t>8,</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6C136B">
        <w:rPr>
          <w:iCs/>
          <w:u w:val="single"/>
          <w:lang w:eastAsia="es-ES"/>
        </w:rPr>
        <w:t xml:space="preserve">- </w:t>
      </w:r>
      <w:r w:rsidRPr="006C136B">
        <w:rPr>
          <w:u w:val="single"/>
        </w:rPr>
        <w:t>201Tl</w:t>
      </w:r>
      <w:r w:rsidRPr="006C136B">
        <w:rPr>
          <w:iCs/>
          <w:u w:val="single"/>
          <w:lang w:eastAsia="es-ES"/>
        </w:rPr>
        <w:t xml:space="preserve"> estrés-reinyección.</w:t>
      </w:r>
      <w:r w:rsidRPr="00BF2799">
        <w:rPr>
          <w:iCs/>
          <w:lang w:eastAsia="es-ES"/>
        </w:rPr>
        <w:t xml:space="preserve"> Es útil para detectar isquemia y viabilidad miocárdica. La dosis para el estrés es de 3-4mCi, mientras que para la reinyección se emplea 1 </w:t>
      </w:r>
      <w:proofErr w:type="spellStart"/>
      <w:r w:rsidRPr="00BF2799">
        <w:rPr>
          <w:iCs/>
          <w:lang w:eastAsia="es-ES"/>
        </w:rPr>
        <w:t>mCi</w:t>
      </w:r>
      <w:proofErr w:type="spellEnd"/>
      <w:r w:rsidRPr="00BF2799">
        <w:rPr>
          <w:iCs/>
          <w:lang w:eastAsia="es-ES"/>
        </w:rPr>
        <w:t>, administrados inmediatamente después de efectuadas las imágenes de estrés o 1 hora antes de las imágenes tardías. Tiene la ventaja, para algunos grupos de hacer más eficiente la adquisición, obtener conteos comparables y evaluar viabilidad en todos los pacientes considerando la posible existencia de IM no conocidos. Produce mayor irradiación que los estudios con moléculas marcadas con Tc99m.</w:t>
      </w:r>
      <w:r w:rsidRPr="00BF2799">
        <w:rPr>
          <w:vertAlign w:val="superscript"/>
          <w:lang w:val="es-ES_tradnl"/>
        </w:rPr>
        <w:t>8,</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b/>
          <w:iCs/>
          <w:lang w:eastAsia="es-ES"/>
        </w:rPr>
        <w:t>2) Sin provocación de isquemia (sólo viabilidad)</w:t>
      </w:r>
    </w:p>
    <w:p w:rsidR="000773A3" w:rsidRPr="00BF2799" w:rsidRDefault="000773A3" w:rsidP="000773A3">
      <w:pPr>
        <w:autoSpaceDE w:val="0"/>
        <w:autoSpaceDN w:val="0"/>
        <w:adjustRightInd w:val="0"/>
        <w:spacing w:line="480" w:lineRule="auto"/>
        <w:rPr>
          <w:iCs/>
          <w:lang w:eastAsia="es-ES"/>
        </w:rPr>
      </w:pPr>
      <w:r w:rsidRPr="00BF2799">
        <w:rPr>
          <w:iCs/>
          <w:lang w:eastAsia="es-ES"/>
        </w:rPr>
        <w:t xml:space="preserve">No requieren monitorización cardiológica y obviamente no es útil para detectar isquemia inducible. </w:t>
      </w:r>
    </w:p>
    <w:p w:rsidR="000773A3" w:rsidRPr="00BF2799" w:rsidRDefault="000773A3" w:rsidP="000773A3">
      <w:pPr>
        <w:autoSpaceDE w:val="0"/>
        <w:autoSpaceDN w:val="0"/>
        <w:adjustRightInd w:val="0"/>
        <w:spacing w:line="480" w:lineRule="auto"/>
        <w:rPr>
          <w:iCs/>
          <w:lang w:eastAsia="es-ES"/>
        </w:rPr>
      </w:pPr>
      <w:r w:rsidRPr="00BF2799">
        <w:rPr>
          <w:iCs/>
          <w:lang w:eastAsia="es-ES"/>
        </w:rPr>
        <w:lastRenderedPageBreak/>
        <w:t>a) Tc99m-Sestamibi en reposo con nitratos. Se adquieren imágenes en reposo, 30-60 min después de la inyección de Tc99m-Sestamibi a las dosis ya descritas. Se repite el procedimiento el mismo día, o al día siguiente, previa administración de nitratos oral o sublingual, en dosis habituales, con el fin de intensificar captación de células viables. Se puede efectuar cuantificación relativa de la captación miocárdica.</w:t>
      </w:r>
      <w:r w:rsidRPr="00BF2799">
        <w:rPr>
          <w:vertAlign w:val="superscript"/>
          <w:lang w:val="es-ES_tradnl"/>
        </w:rPr>
        <w:t>8,</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spacing w:line="480" w:lineRule="auto"/>
      </w:pPr>
      <w:r w:rsidRPr="00BF2799">
        <w:rPr>
          <w:iCs/>
          <w:lang w:eastAsia="es-ES"/>
        </w:rPr>
        <w:t xml:space="preserve"> b) </w:t>
      </w:r>
      <w:r w:rsidRPr="00BF2799">
        <w:t xml:space="preserve">201Tl </w:t>
      </w:r>
      <w:r w:rsidRPr="00BF2799">
        <w:rPr>
          <w:iCs/>
          <w:lang w:eastAsia="es-ES"/>
        </w:rPr>
        <w:t xml:space="preserve">reposo-redistribución. Fue el protocolo inicial para viabilidad. Las imágenes se comienzan a los 10 min post inyección (3-4mCi), mientras que las de redistribución se efectúan a las 3-4 </w:t>
      </w:r>
      <w:proofErr w:type="spellStart"/>
      <w:r w:rsidRPr="00BF2799">
        <w:rPr>
          <w:iCs/>
          <w:lang w:eastAsia="es-ES"/>
        </w:rPr>
        <w:t>hrs</w:t>
      </w:r>
      <w:proofErr w:type="spellEnd"/>
      <w:r w:rsidRPr="00BF2799">
        <w:rPr>
          <w:iCs/>
          <w:lang w:eastAsia="es-ES"/>
        </w:rPr>
        <w:t xml:space="preserve">. Se pueden adicionar imágenes más tardías a las 12-24 </w:t>
      </w:r>
      <w:proofErr w:type="spellStart"/>
      <w:r w:rsidRPr="00BF2799">
        <w:rPr>
          <w:iCs/>
          <w:lang w:eastAsia="es-ES"/>
        </w:rPr>
        <w:t>hrs</w:t>
      </w:r>
      <w:proofErr w:type="spellEnd"/>
      <w:r w:rsidRPr="00BF2799">
        <w:rPr>
          <w:iCs/>
          <w:lang w:eastAsia="es-ES"/>
        </w:rPr>
        <w:t>.</w:t>
      </w:r>
      <w:r w:rsidRPr="00BF2799">
        <w:rPr>
          <w:vertAlign w:val="superscript"/>
          <w:lang w:val="es-ES_tradnl"/>
        </w:rPr>
        <w:t>8,</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spacing w:line="480" w:lineRule="auto"/>
        <w:rPr>
          <w:b/>
        </w:rPr>
      </w:pPr>
      <w:r w:rsidRPr="00BF2799">
        <w:rPr>
          <w:b/>
        </w:rPr>
        <w:t>1.4 Interpretación e informe de la imagen SPECT</w:t>
      </w:r>
    </w:p>
    <w:p w:rsidR="000773A3" w:rsidRPr="00BF2799" w:rsidRDefault="000773A3" w:rsidP="000773A3">
      <w:pPr>
        <w:autoSpaceDE w:val="0"/>
        <w:autoSpaceDN w:val="0"/>
        <w:adjustRightInd w:val="0"/>
        <w:spacing w:line="480" w:lineRule="auto"/>
        <w:rPr>
          <w:iCs/>
          <w:lang w:eastAsia="es-ES"/>
        </w:rPr>
      </w:pPr>
      <w:r w:rsidRPr="00BF2799">
        <w:rPr>
          <w:iCs/>
          <w:lang w:eastAsia="es-ES"/>
        </w:rPr>
        <w:t xml:space="preserve">Para evaluar la perfusión miocárdica se usan diversos parámetros, tales como: </w:t>
      </w:r>
    </w:p>
    <w:p w:rsidR="000773A3" w:rsidRPr="00BF2799" w:rsidRDefault="000773A3" w:rsidP="000773A3">
      <w:pPr>
        <w:autoSpaceDE w:val="0"/>
        <w:autoSpaceDN w:val="0"/>
        <w:adjustRightInd w:val="0"/>
        <w:spacing w:line="480" w:lineRule="auto"/>
        <w:rPr>
          <w:iCs/>
          <w:lang w:eastAsia="es-ES"/>
        </w:rPr>
      </w:pPr>
      <w:r w:rsidRPr="00BF2799">
        <w:rPr>
          <w:iCs/>
          <w:lang w:eastAsia="es-ES"/>
        </w:rPr>
        <w:t xml:space="preserve">-Análisis visual de cine de la adquisición original que permite relacionar tamaño de cavidades ventriculares y dilatación en las fases analizadas y reconocer movimiento durante la adquisición con eventual corrección posterior usando software adecuado. </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lang w:eastAsia="es-ES"/>
        </w:rPr>
        <w:t xml:space="preserve">- Índices </w:t>
      </w:r>
      <w:proofErr w:type="spellStart"/>
      <w:r w:rsidRPr="00BF2799">
        <w:rPr>
          <w:iCs/>
          <w:lang w:eastAsia="es-ES"/>
        </w:rPr>
        <w:t>semi</w:t>
      </w:r>
      <w:proofErr w:type="spellEnd"/>
      <w:r w:rsidRPr="00BF2799">
        <w:rPr>
          <w:iCs/>
          <w:lang w:eastAsia="es-ES"/>
        </w:rPr>
        <w:t>-cuantitativos de captación que consideran actividad en pared normal del ventrículo izquierdo (VI) respecto a la existente en el campo pulmonar, pesquisando sobrecarga ventricular, en forma simple en fase post-estrés, más útil con ejercicio y con Talio que con vasodilatadores y MIBI.</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lang w:eastAsia="es-ES"/>
        </w:rPr>
        <w:t>Otro índice es la dilatación transitoria del VI en estrés respecto al reposo (</w:t>
      </w:r>
      <w:proofErr w:type="spellStart"/>
      <w:r w:rsidRPr="00BF2799">
        <w:rPr>
          <w:iCs/>
          <w:lang w:eastAsia="es-ES"/>
        </w:rPr>
        <w:t>Transient</w:t>
      </w:r>
      <w:proofErr w:type="spellEnd"/>
      <w:r w:rsidRPr="00BF2799">
        <w:rPr>
          <w:iCs/>
          <w:lang w:eastAsia="es-ES"/>
        </w:rPr>
        <w:t xml:space="preserve"> </w:t>
      </w:r>
      <w:proofErr w:type="spellStart"/>
      <w:r w:rsidRPr="00BF2799">
        <w:rPr>
          <w:iCs/>
          <w:lang w:eastAsia="es-ES"/>
        </w:rPr>
        <w:t>Ischemic</w:t>
      </w:r>
      <w:proofErr w:type="spellEnd"/>
      <w:r w:rsidRPr="00BF2799">
        <w:rPr>
          <w:iCs/>
          <w:lang w:eastAsia="es-ES"/>
        </w:rPr>
        <w:t xml:space="preserve"> </w:t>
      </w:r>
      <w:proofErr w:type="spellStart"/>
      <w:r w:rsidRPr="00BF2799">
        <w:rPr>
          <w:iCs/>
          <w:lang w:eastAsia="es-ES"/>
        </w:rPr>
        <w:t>Dilation</w:t>
      </w:r>
      <w:proofErr w:type="spellEnd"/>
      <w:r w:rsidRPr="00BF2799">
        <w:rPr>
          <w:iCs/>
          <w:lang w:eastAsia="es-ES"/>
        </w:rPr>
        <w:t xml:space="preserve"> o TID), que indica isquemia </w:t>
      </w:r>
      <w:proofErr w:type="spellStart"/>
      <w:r w:rsidRPr="00BF2799">
        <w:rPr>
          <w:iCs/>
          <w:lang w:eastAsia="es-ES"/>
        </w:rPr>
        <w:t>subendocárdica</w:t>
      </w:r>
      <w:proofErr w:type="spellEnd"/>
      <w:r w:rsidRPr="00BF2799">
        <w:rPr>
          <w:iCs/>
          <w:lang w:eastAsia="es-ES"/>
        </w:rPr>
        <w:t xml:space="preserve">. </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lang w:eastAsia="es-ES"/>
        </w:rPr>
        <w:lastRenderedPageBreak/>
        <w:t xml:space="preserve">-Índices obtenidos de programas de software comercial disponibles para SPECT, que usan algoritmos matemáticos para cuantificar los hallazgos y comparar con bases de datos de sujetos normales o con baja probabilidad de EAC. Asimismo, existen parámetros de perfusión y de función en los estudios gatillados, entregados en forma automática o con mínima intervención del operador. Se puede evaluar la extensión de los defectos reversibles [isquemia] y fijos [infarto o isquemia severa, o hibernación] o mixtos; la motilidad y engrosamiento sistólico, las curvas de volumen, fracción de eyección de ventrículo izquierdo (FEVI) y volúmenes ventriculares e incluso la excentricidad de la cavidad (indicador de remodelación ventricular). Se utiliza también la relación entre volumen de fin de diástole (VFD) en el post estrés y en reposo para pesquisar disfunción ventricular izquierda transitoria. El ventrículo izquierdo se analiza en base a segmentos de un mapa polar estandarizado con 17 o 20 de ellos. </w:t>
      </w:r>
      <w:r w:rsidRPr="00BF2799">
        <w:rPr>
          <w:vertAlign w:val="superscript"/>
          <w:lang w:val="es-ES_tradnl"/>
        </w:rPr>
        <w:t xml:space="preserve"> 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0773A3" w:rsidRPr="00BF2799" w:rsidRDefault="000773A3" w:rsidP="000773A3">
      <w:pPr>
        <w:autoSpaceDE w:val="0"/>
        <w:autoSpaceDN w:val="0"/>
        <w:adjustRightInd w:val="0"/>
        <w:spacing w:line="480" w:lineRule="auto"/>
        <w:rPr>
          <w:iCs/>
          <w:lang w:eastAsia="es-ES"/>
        </w:rPr>
      </w:pPr>
      <w:r w:rsidRPr="00BF2799">
        <w:rPr>
          <w:iCs/>
          <w:lang w:eastAsia="es-ES"/>
        </w:rPr>
        <w:t>Existe la opción de efectuar la imagen post-estrés inmediatamente terminado el ejercicio y posterior a la estabilización del paciente lo que permite contar con parámetro pronóstico adicional por caída de la FEVI asociado a dilatación transitoria incluso independiente de la presencia de defectos isquémicos. En general se prefiere comenzar la adquisición al 30 min posterior a efectuada la inyección en estrés. Aún puede existir atontamiento isquémico residual en ese lapso y debe ser considerado incluyendo la búsqueda de alteraciones de motilidad ventricular izquierda segmentarias o difusas.</w:t>
      </w:r>
      <w:r w:rsidRPr="00BF2799">
        <w:rPr>
          <w:vertAlign w:val="superscript"/>
          <w:lang w:val="es-ES_tradnl"/>
        </w:rPr>
        <w:t xml:space="preserve"> 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8D765C" w:rsidRPr="008D765C" w:rsidRDefault="008D765C" w:rsidP="008D765C">
      <w:pPr>
        <w:spacing w:line="480" w:lineRule="auto"/>
      </w:pPr>
      <w:r>
        <w:t xml:space="preserve">Una interpretación de los estudios de perfusión miocárdica que incorpore la evaluación sistemática de cada uno de estos hallazgos ayudará en la </w:t>
      </w:r>
      <w:r>
        <w:lastRenderedPageBreak/>
        <w:t xml:space="preserve">estratificación de riesgo y en la selección adecuada de los pacientes para estudios invasivos o tratamiento médico. Normalmente, la contractilidad del VI (y por tanto la fracción de eyección) se incrementa con el ejercicio o la </w:t>
      </w:r>
      <w:proofErr w:type="spellStart"/>
      <w:r>
        <w:t>dobutamina</w:t>
      </w:r>
      <w:proofErr w:type="spellEnd"/>
      <w:r>
        <w:t xml:space="preserve">. Un estudio con </w:t>
      </w:r>
      <w:proofErr w:type="spellStart"/>
      <w:r>
        <w:t>gated</w:t>
      </w:r>
      <w:proofErr w:type="spellEnd"/>
      <w:r>
        <w:t xml:space="preserve"> SPECT y ejercicio en voluntarios </w:t>
      </w:r>
      <w:r w:rsidRPr="00BE64B3">
        <w:t>normales mostró que la fracción de eyección</w:t>
      </w:r>
      <w:r>
        <w:t xml:space="preserve"> </w:t>
      </w:r>
      <w:r w:rsidRPr="00BE64B3">
        <w:t>del</w:t>
      </w:r>
      <w:r>
        <w:t xml:space="preserve"> </w:t>
      </w:r>
      <w:r w:rsidRPr="00BE64B3">
        <w:t>ventrículo</w:t>
      </w:r>
      <w:r>
        <w:t xml:space="preserve"> </w:t>
      </w:r>
      <w:r w:rsidRPr="00BE64B3">
        <w:t>izquierdo(FEVI)</w:t>
      </w:r>
      <w:r>
        <w:t xml:space="preserve"> </w:t>
      </w:r>
      <w:r w:rsidRPr="00BE64B3">
        <w:t>fue</w:t>
      </w:r>
      <w:r>
        <w:t xml:space="preserve"> </w:t>
      </w:r>
      <w:r w:rsidRPr="00BE64B3">
        <w:t xml:space="preserve">aproximadamente 6% más alta en el período </w:t>
      </w:r>
      <w:proofErr w:type="spellStart"/>
      <w:r w:rsidRPr="00BE64B3">
        <w:t>postestrés</w:t>
      </w:r>
      <w:proofErr w:type="spellEnd"/>
      <w:r>
        <w:t xml:space="preserve"> </w:t>
      </w:r>
      <w:r w:rsidRPr="00BE64B3">
        <w:t>que</w:t>
      </w:r>
      <w:r>
        <w:t xml:space="preserve"> </w:t>
      </w:r>
      <w:r w:rsidRPr="00BE64B3">
        <w:t>en</w:t>
      </w:r>
      <w:r>
        <w:t xml:space="preserve"> </w:t>
      </w:r>
      <w:r w:rsidRPr="00BE64B3">
        <w:t>el</w:t>
      </w:r>
      <w:r>
        <w:t xml:space="preserve"> </w:t>
      </w:r>
      <w:r w:rsidRPr="00BE64B3">
        <w:t>reposo,</w:t>
      </w:r>
      <w:r>
        <w:t xml:space="preserve"> </w:t>
      </w:r>
      <w:r w:rsidRPr="00BE64B3">
        <w:t>mientras</w:t>
      </w:r>
      <w:r>
        <w:t xml:space="preserve"> </w:t>
      </w:r>
      <w:r w:rsidRPr="00BE64B3">
        <w:t>que</w:t>
      </w:r>
      <w:r>
        <w:t xml:space="preserve"> </w:t>
      </w:r>
      <w:r w:rsidRPr="00BE64B3">
        <w:t>el</w:t>
      </w:r>
      <w:r>
        <w:t xml:space="preserve"> </w:t>
      </w:r>
      <w:r w:rsidRPr="00BE64B3">
        <w:t>VFD y el VFS fueron significativamente menores</w:t>
      </w:r>
      <w:r>
        <w:t>.</w:t>
      </w:r>
      <w:r w:rsidR="00335634">
        <w:t xml:space="preserve"> </w:t>
      </w:r>
      <w:r w:rsidR="00335634" w:rsidRPr="00BE64B3">
        <w:t>En</w:t>
      </w:r>
      <w:r w:rsidR="00335634">
        <w:t xml:space="preserve"> </w:t>
      </w:r>
      <w:r w:rsidR="00335634" w:rsidRPr="00BE64B3">
        <w:t>cambio,</w:t>
      </w:r>
      <w:r w:rsidR="00335634">
        <w:t xml:space="preserve"> </w:t>
      </w:r>
      <w:r w:rsidR="00335634" w:rsidRPr="00BE64B3">
        <w:t>en</w:t>
      </w:r>
      <w:r w:rsidR="00335634">
        <w:t xml:space="preserve"> </w:t>
      </w:r>
      <w:r w:rsidR="00335634" w:rsidRPr="00BE64B3">
        <w:t>la</w:t>
      </w:r>
      <w:r w:rsidR="00335634">
        <w:t xml:space="preserve"> </w:t>
      </w:r>
      <w:r w:rsidR="00335634" w:rsidRPr="00BE64B3">
        <w:t>cardiopatía</w:t>
      </w:r>
      <w:r w:rsidR="00335634">
        <w:t xml:space="preserve"> </w:t>
      </w:r>
      <w:r w:rsidR="00335634" w:rsidRPr="00BE64B3">
        <w:t>isquémica</w:t>
      </w:r>
      <w:r w:rsidR="00335634">
        <w:t xml:space="preserve"> </w:t>
      </w:r>
      <w:r w:rsidR="00335634" w:rsidRPr="00BE64B3">
        <w:t>la FEVI</w:t>
      </w:r>
      <w:r w:rsidR="00335634">
        <w:t xml:space="preserve"> </w:t>
      </w:r>
      <w:r w:rsidR="00335634" w:rsidRPr="00BE64B3">
        <w:t>no</w:t>
      </w:r>
      <w:r w:rsidR="00335634">
        <w:t xml:space="preserve"> </w:t>
      </w:r>
      <w:r w:rsidR="00335634" w:rsidRPr="00BE64B3">
        <w:t>se</w:t>
      </w:r>
      <w:r w:rsidR="00335634">
        <w:t xml:space="preserve"> </w:t>
      </w:r>
      <w:r w:rsidR="00335634" w:rsidRPr="00BE64B3">
        <w:t>incrementa</w:t>
      </w:r>
      <w:r w:rsidR="00335634">
        <w:t xml:space="preserve"> </w:t>
      </w:r>
      <w:r w:rsidR="00335634" w:rsidRPr="00BE64B3">
        <w:t>e</w:t>
      </w:r>
      <w:r w:rsidR="00335634">
        <w:t xml:space="preserve"> </w:t>
      </w:r>
      <w:r w:rsidR="00335634" w:rsidRPr="00BE64B3">
        <w:t>incluso</w:t>
      </w:r>
      <w:r w:rsidR="00335634">
        <w:t xml:space="preserve"> </w:t>
      </w:r>
      <w:r w:rsidR="00335634" w:rsidRPr="00BE64B3">
        <w:t>puede</w:t>
      </w:r>
      <w:r w:rsidR="00335634">
        <w:t xml:space="preserve"> </w:t>
      </w:r>
      <w:r w:rsidR="00335634" w:rsidRPr="00BE64B3">
        <w:t>d</w:t>
      </w:r>
      <w:r w:rsidR="00335634">
        <w:t>isminuir</w:t>
      </w:r>
      <w:r w:rsidR="00335634" w:rsidRPr="00BE64B3">
        <w:t>. Este fenómeno refleja el llamado “aturdimiento” miocárdico, una disfunción ventricular</w:t>
      </w:r>
      <w:r w:rsidR="00335634">
        <w:t xml:space="preserve"> </w:t>
      </w:r>
      <w:r w:rsidR="00335634" w:rsidRPr="00BE64B3">
        <w:t>transitoria</w:t>
      </w:r>
      <w:r w:rsidR="00335634">
        <w:t xml:space="preserve"> </w:t>
      </w:r>
      <w:r w:rsidR="00335634" w:rsidRPr="00BE64B3">
        <w:t>que</w:t>
      </w:r>
      <w:r w:rsidR="00335634">
        <w:t xml:space="preserve"> </w:t>
      </w:r>
      <w:r w:rsidR="00335634" w:rsidRPr="00BE64B3">
        <w:t>se</w:t>
      </w:r>
      <w:r w:rsidR="00335634">
        <w:t xml:space="preserve"> </w:t>
      </w:r>
      <w:r w:rsidR="00335634" w:rsidRPr="00BE64B3">
        <w:t>resuelve</w:t>
      </w:r>
      <w:r w:rsidR="00335634">
        <w:t xml:space="preserve"> </w:t>
      </w:r>
      <w:r w:rsidR="00335634" w:rsidRPr="00BE64B3">
        <w:t>espontáneamente</w:t>
      </w:r>
      <w:r w:rsidR="00335634">
        <w:t xml:space="preserve"> </w:t>
      </w:r>
      <w:r w:rsidR="00335634" w:rsidRPr="00BE64B3">
        <w:t>tras</w:t>
      </w:r>
      <w:r w:rsidR="00335634">
        <w:t xml:space="preserve"> </w:t>
      </w:r>
      <w:r w:rsidR="00335634" w:rsidRPr="00BE64B3">
        <w:t>un</w:t>
      </w:r>
      <w:r w:rsidR="00335634">
        <w:t xml:space="preserve"> </w:t>
      </w:r>
      <w:r w:rsidR="00335634" w:rsidRPr="00BE64B3">
        <w:t>período</w:t>
      </w:r>
      <w:r w:rsidR="00335634">
        <w:t xml:space="preserve"> </w:t>
      </w:r>
      <w:r w:rsidR="00335634" w:rsidRPr="00BE64B3">
        <w:t>variable</w:t>
      </w:r>
      <w:r w:rsidR="00335634">
        <w:t xml:space="preserve"> </w:t>
      </w:r>
      <w:r w:rsidR="00335634" w:rsidRPr="00BE64B3">
        <w:t>luego</w:t>
      </w:r>
      <w:r w:rsidR="00335634">
        <w:t xml:space="preserve"> </w:t>
      </w:r>
      <w:r w:rsidR="00335634" w:rsidRPr="00BE64B3">
        <w:t>de cesar la isquemia</w:t>
      </w:r>
      <w:r w:rsidR="00335634">
        <w:t>.</w:t>
      </w:r>
      <w:r w:rsidR="00E5703E" w:rsidRPr="00E5703E">
        <w:rPr>
          <w:vertAlign w:val="superscript"/>
          <w:lang w:val="es-ES_tradnl"/>
        </w:rPr>
        <w:t xml:space="preserve"> </w:t>
      </w:r>
      <w:r w:rsidR="00E5703E" w:rsidRPr="00BF2799">
        <w:rPr>
          <w:vertAlign w:val="superscript"/>
          <w:lang w:val="es-ES_tradnl"/>
        </w:rPr>
        <w:t>8,</w:t>
      </w:r>
      <w:r w:rsidR="00E5703E">
        <w:rPr>
          <w:vertAlign w:val="superscript"/>
          <w:lang w:val="es-ES_tradnl"/>
        </w:rPr>
        <w:t xml:space="preserve"> </w:t>
      </w:r>
      <w:r w:rsidR="00E5703E" w:rsidRPr="00BF2799">
        <w:rPr>
          <w:vertAlign w:val="superscript"/>
          <w:lang w:val="es-ES_tradnl"/>
        </w:rPr>
        <w:t>11,</w:t>
      </w:r>
      <w:r w:rsidR="00E5703E">
        <w:rPr>
          <w:vertAlign w:val="superscript"/>
          <w:lang w:val="es-ES_tradnl"/>
        </w:rPr>
        <w:t xml:space="preserve"> 21</w:t>
      </w:r>
      <w:r w:rsidR="00E5703E" w:rsidRPr="00BF2799">
        <w:rPr>
          <w:vertAlign w:val="superscript"/>
          <w:lang w:val="es-ES_tradnl"/>
        </w:rPr>
        <w:t>,</w:t>
      </w:r>
      <w:r w:rsidR="00E5703E">
        <w:rPr>
          <w:vertAlign w:val="superscript"/>
          <w:lang w:val="es-ES_tradnl"/>
        </w:rPr>
        <w:t xml:space="preserve"> 27-29</w:t>
      </w:r>
    </w:p>
    <w:p w:rsidR="000773A3" w:rsidRPr="00297763" w:rsidRDefault="000773A3" w:rsidP="00297763">
      <w:pPr>
        <w:autoSpaceDE w:val="0"/>
        <w:autoSpaceDN w:val="0"/>
        <w:adjustRightInd w:val="0"/>
        <w:spacing w:line="480" w:lineRule="auto"/>
        <w:rPr>
          <w:iCs/>
          <w:lang w:eastAsia="es-ES"/>
        </w:rPr>
      </w:pPr>
      <w:r w:rsidRPr="00BF2799">
        <w:rPr>
          <w:iCs/>
          <w:lang w:eastAsia="es-ES"/>
        </w:rPr>
        <w:t xml:space="preserve">Los programas </w:t>
      </w:r>
      <w:proofErr w:type="spellStart"/>
      <w:r w:rsidRPr="00BF2799">
        <w:rPr>
          <w:iCs/>
          <w:lang w:eastAsia="es-ES"/>
        </w:rPr>
        <w:t>Cedars</w:t>
      </w:r>
      <w:proofErr w:type="spellEnd"/>
      <w:r w:rsidRPr="00BF2799">
        <w:rPr>
          <w:iCs/>
          <w:lang w:eastAsia="es-ES"/>
        </w:rPr>
        <w:t xml:space="preserve"> </w:t>
      </w:r>
      <w:proofErr w:type="spellStart"/>
      <w:r w:rsidRPr="00BF2799">
        <w:rPr>
          <w:iCs/>
          <w:lang w:eastAsia="es-ES"/>
        </w:rPr>
        <w:t>Quantitative</w:t>
      </w:r>
      <w:proofErr w:type="spellEnd"/>
      <w:r w:rsidRPr="00BF2799">
        <w:rPr>
          <w:iCs/>
          <w:lang w:eastAsia="es-ES"/>
        </w:rPr>
        <w:t xml:space="preserve"> </w:t>
      </w:r>
      <w:proofErr w:type="spellStart"/>
      <w:r w:rsidRPr="00BF2799">
        <w:rPr>
          <w:iCs/>
          <w:lang w:eastAsia="es-ES"/>
        </w:rPr>
        <w:t>Perfusion</w:t>
      </w:r>
      <w:proofErr w:type="spellEnd"/>
      <w:r w:rsidRPr="00BF2799">
        <w:rPr>
          <w:iCs/>
          <w:lang w:eastAsia="es-ES"/>
        </w:rPr>
        <w:t xml:space="preserve"> (QPS®), </w:t>
      </w:r>
      <w:proofErr w:type="spellStart"/>
      <w:r w:rsidRPr="00BF2799">
        <w:rPr>
          <w:iCs/>
          <w:lang w:eastAsia="es-ES"/>
        </w:rPr>
        <w:t>Quantitative</w:t>
      </w:r>
      <w:proofErr w:type="spellEnd"/>
      <w:r w:rsidRPr="00BF2799">
        <w:rPr>
          <w:iCs/>
          <w:lang w:eastAsia="es-ES"/>
        </w:rPr>
        <w:t xml:space="preserve"> </w:t>
      </w:r>
      <w:proofErr w:type="spellStart"/>
      <w:r w:rsidRPr="00BF2799">
        <w:rPr>
          <w:iCs/>
          <w:lang w:eastAsia="es-ES"/>
        </w:rPr>
        <w:t>Gated</w:t>
      </w:r>
      <w:proofErr w:type="spellEnd"/>
      <w:r w:rsidRPr="00BF2799">
        <w:rPr>
          <w:iCs/>
          <w:lang w:eastAsia="es-ES"/>
        </w:rPr>
        <w:t xml:space="preserve"> (QGS®), </w:t>
      </w:r>
      <w:proofErr w:type="spellStart"/>
      <w:r w:rsidRPr="00BF2799">
        <w:rPr>
          <w:iCs/>
          <w:lang w:eastAsia="es-ES"/>
        </w:rPr>
        <w:t>Quantitative</w:t>
      </w:r>
      <w:proofErr w:type="spellEnd"/>
      <w:r w:rsidRPr="00BF2799">
        <w:rPr>
          <w:iCs/>
          <w:lang w:eastAsia="es-ES"/>
        </w:rPr>
        <w:t xml:space="preserve"> </w:t>
      </w:r>
      <w:proofErr w:type="spellStart"/>
      <w:r w:rsidRPr="00BF2799">
        <w:rPr>
          <w:iCs/>
          <w:lang w:eastAsia="es-ES"/>
        </w:rPr>
        <w:t>Blood</w:t>
      </w:r>
      <w:proofErr w:type="spellEnd"/>
      <w:r w:rsidRPr="00BF2799">
        <w:rPr>
          <w:iCs/>
          <w:lang w:eastAsia="es-ES"/>
        </w:rPr>
        <w:t xml:space="preserve"> Pool (QBS®) y </w:t>
      </w:r>
      <w:proofErr w:type="spellStart"/>
      <w:r w:rsidRPr="00BF2799">
        <w:rPr>
          <w:iCs/>
          <w:lang w:eastAsia="es-ES"/>
        </w:rPr>
        <w:t>Emory</w:t>
      </w:r>
      <w:proofErr w:type="spellEnd"/>
      <w:r w:rsidRPr="00BF2799">
        <w:rPr>
          <w:iCs/>
          <w:lang w:eastAsia="es-ES"/>
        </w:rPr>
        <w:t xml:space="preserve"> </w:t>
      </w:r>
      <w:proofErr w:type="spellStart"/>
      <w:r w:rsidRPr="00BF2799">
        <w:rPr>
          <w:iCs/>
          <w:lang w:eastAsia="es-ES"/>
        </w:rPr>
        <w:t>Toolbox</w:t>
      </w:r>
      <w:proofErr w:type="spellEnd"/>
      <w:r w:rsidRPr="00BF2799">
        <w:rPr>
          <w:iCs/>
          <w:lang w:eastAsia="es-ES"/>
        </w:rPr>
        <w:t xml:space="preserve"> ® son los más difundidos. Los índices o scores más comunes para perfusión corresponden a </w:t>
      </w:r>
      <w:proofErr w:type="spellStart"/>
      <w:r w:rsidRPr="00BF2799">
        <w:rPr>
          <w:iCs/>
          <w:lang w:eastAsia="es-ES"/>
        </w:rPr>
        <w:t>summed</w:t>
      </w:r>
      <w:proofErr w:type="spellEnd"/>
      <w:r w:rsidRPr="00BF2799">
        <w:rPr>
          <w:iCs/>
          <w:lang w:eastAsia="es-ES"/>
        </w:rPr>
        <w:t xml:space="preserve"> stress score, </w:t>
      </w:r>
      <w:proofErr w:type="spellStart"/>
      <w:r w:rsidRPr="00BF2799">
        <w:rPr>
          <w:iCs/>
          <w:lang w:eastAsia="es-ES"/>
        </w:rPr>
        <w:t>summed</w:t>
      </w:r>
      <w:proofErr w:type="spellEnd"/>
      <w:r w:rsidRPr="00BF2799">
        <w:rPr>
          <w:iCs/>
          <w:lang w:eastAsia="es-ES"/>
        </w:rPr>
        <w:t xml:space="preserve"> </w:t>
      </w:r>
      <w:proofErr w:type="spellStart"/>
      <w:r w:rsidRPr="00BF2799">
        <w:rPr>
          <w:iCs/>
          <w:lang w:eastAsia="es-ES"/>
        </w:rPr>
        <w:t>rest</w:t>
      </w:r>
      <w:proofErr w:type="spellEnd"/>
      <w:r w:rsidRPr="00BF2799">
        <w:rPr>
          <w:iCs/>
          <w:lang w:eastAsia="es-ES"/>
        </w:rPr>
        <w:t xml:space="preserve"> score y </w:t>
      </w:r>
      <w:proofErr w:type="spellStart"/>
      <w:r w:rsidRPr="00BF2799">
        <w:rPr>
          <w:iCs/>
          <w:lang w:eastAsia="es-ES"/>
        </w:rPr>
        <w:t>summed</w:t>
      </w:r>
      <w:proofErr w:type="spellEnd"/>
      <w:r w:rsidRPr="00BF2799">
        <w:rPr>
          <w:iCs/>
          <w:lang w:eastAsia="es-ES"/>
        </w:rPr>
        <w:t xml:space="preserve"> </w:t>
      </w:r>
      <w:proofErr w:type="spellStart"/>
      <w:r w:rsidRPr="00BF2799">
        <w:rPr>
          <w:iCs/>
          <w:lang w:eastAsia="es-ES"/>
        </w:rPr>
        <w:t>difference</w:t>
      </w:r>
      <w:proofErr w:type="spellEnd"/>
      <w:r w:rsidRPr="00BF2799">
        <w:rPr>
          <w:iCs/>
          <w:lang w:eastAsia="es-ES"/>
        </w:rPr>
        <w:t xml:space="preserve"> score (SSS, SRS y SDS, respectivamente), así como la extensión porcentual de los defectos fijos o reversibles. Los parámetros funcionales más usados son la FEVI y los volúmenes </w:t>
      </w:r>
      <w:proofErr w:type="spellStart"/>
      <w:r w:rsidRPr="00BF2799">
        <w:rPr>
          <w:iCs/>
          <w:lang w:eastAsia="es-ES"/>
        </w:rPr>
        <w:t>telediastólico</w:t>
      </w:r>
      <w:proofErr w:type="spellEnd"/>
      <w:r w:rsidRPr="00BF2799">
        <w:rPr>
          <w:iCs/>
          <w:lang w:eastAsia="es-ES"/>
        </w:rPr>
        <w:t xml:space="preserve"> y </w:t>
      </w:r>
      <w:proofErr w:type="spellStart"/>
      <w:r w:rsidRPr="00BF2799">
        <w:rPr>
          <w:iCs/>
          <w:lang w:eastAsia="es-ES"/>
        </w:rPr>
        <w:t>telesistólico</w:t>
      </w:r>
      <w:proofErr w:type="spellEnd"/>
      <w:r w:rsidRPr="00BF2799">
        <w:rPr>
          <w:iCs/>
          <w:lang w:eastAsia="es-ES"/>
        </w:rPr>
        <w:t xml:space="preserve"> (VFD y VFS) y el índice de dilatación transitoria de VI. Además, hay nuevos indicadores de isquemia que consideran tanto la extensión como la severidad de </w:t>
      </w:r>
      <w:r>
        <w:rPr>
          <w:iCs/>
          <w:lang w:eastAsia="es-ES"/>
        </w:rPr>
        <w:t>los defectos de perfusión, la</w:t>
      </w:r>
      <w:r w:rsidRPr="00BF2799">
        <w:rPr>
          <w:iCs/>
          <w:lang w:eastAsia="es-ES"/>
        </w:rPr>
        <w:t xml:space="preserve"> forma y excentricidad ventricular izquierda.</w:t>
      </w:r>
      <w:r w:rsidRPr="00BF2799">
        <w:rPr>
          <w:vertAlign w:val="superscript"/>
          <w:lang w:val="es-ES_tradnl"/>
        </w:rPr>
        <w:t>8,</w:t>
      </w:r>
      <w:r>
        <w:rPr>
          <w:vertAlign w:val="superscript"/>
          <w:lang w:val="es-ES_tradnl"/>
        </w:rPr>
        <w:t xml:space="preserve"> </w:t>
      </w:r>
      <w:r w:rsidRPr="00BF2799">
        <w:rPr>
          <w:vertAlign w:val="superscript"/>
          <w:lang w:val="es-ES_tradnl"/>
        </w:rPr>
        <w:t>11,</w:t>
      </w:r>
      <w:r>
        <w:rPr>
          <w:vertAlign w:val="superscript"/>
          <w:lang w:val="es-ES_tradnl"/>
        </w:rPr>
        <w:t xml:space="preserve"> 21</w:t>
      </w:r>
      <w:r w:rsidRPr="00BF2799">
        <w:rPr>
          <w:vertAlign w:val="superscript"/>
          <w:lang w:val="es-ES_tradnl"/>
        </w:rPr>
        <w:t>,</w:t>
      </w:r>
      <w:r>
        <w:rPr>
          <w:vertAlign w:val="superscript"/>
          <w:lang w:val="es-ES_tradnl"/>
        </w:rPr>
        <w:t xml:space="preserve"> 27-29</w:t>
      </w:r>
    </w:p>
    <w:p w:rsidR="00DD4DF9" w:rsidRDefault="00DD4DF9" w:rsidP="000773A3">
      <w:pPr>
        <w:autoSpaceDE w:val="0"/>
        <w:autoSpaceDN w:val="0"/>
        <w:adjustRightInd w:val="0"/>
        <w:spacing w:line="480" w:lineRule="auto"/>
        <w:rPr>
          <w:b/>
          <w:bCs/>
          <w:lang w:eastAsia="es-ES"/>
        </w:rPr>
      </w:pPr>
    </w:p>
    <w:p w:rsidR="00CC7698" w:rsidRDefault="00CC7698" w:rsidP="00CC7698">
      <w:pPr>
        <w:spacing w:line="480" w:lineRule="auto"/>
      </w:pPr>
    </w:p>
    <w:p w:rsidR="00CC7698" w:rsidRPr="00740BE6" w:rsidRDefault="00CC7698" w:rsidP="00CC7698">
      <w:pPr>
        <w:spacing w:line="480" w:lineRule="auto"/>
      </w:pPr>
    </w:p>
    <w:p w:rsidR="00F7533D" w:rsidRPr="00740BE6" w:rsidRDefault="00F7533D" w:rsidP="00EF6D32">
      <w:pPr>
        <w:pStyle w:val="Ttulo1"/>
        <w:spacing w:line="480" w:lineRule="auto"/>
      </w:pPr>
    </w:p>
    <w:p w:rsidR="00F7533D" w:rsidRPr="00740BE6" w:rsidRDefault="00F7533D" w:rsidP="00EF6D32">
      <w:pPr>
        <w:pStyle w:val="Ttulo1"/>
        <w:spacing w:line="480" w:lineRule="auto"/>
      </w:pPr>
    </w:p>
    <w:p w:rsidR="00F7533D" w:rsidRPr="00740BE6" w:rsidRDefault="00F7533D" w:rsidP="00EF6D32">
      <w:pPr>
        <w:pStyle w:val="Ttulo1"/>
        <w:spacing w:line="480" w:lineRule="auto"/>
      </w:pPr>
    </w:p>
    <w:p w:rsidR="00F7533D" w:rsidRPr="00740BE6" w:rsidRDefault="00F7533D" w:rsidP="00EF6D32">
      <w:pPr>
        <w:pStyle w:val="Ttulo1"/>
        <w:spacing w:line="480" w:lineRule="auto"/>
        <w:rPr>
          <w:sz w:val="32"/>
          <w:szCs w:val="32"/>
        </w:rPr>
      </w:pPr>
    </w:p>
    <w:p w:rsidR="00D85049" w:rsidRPr="00740BE6" w:rsidRDefault="00D85049" w:rsidP="000756D2">
      <w:pPr>
        <w:pStyle w:val="Ttulo1"/>
        <w:spacing w:before="2040" w:line="480" w:lineRule="auto"/>
        <w:jc w:val="center"/>
        <w:rPr>
          <w:sz w:val="32"/>
          <w:szCs w:val="32"/>
          <w:lang w:val="pt-BR"/>
        </w:rPr>
      </w:pPr>
      <w:bookmarkStart w:id="36" w:name="_Toc518382541"/>
      <w:r w:rsidRPr="00740BE6">
        <w:rPr>
          <w:sz w:val="32"/>
          <w:szCs w:val="32"/>
          <w:lang w:val="pt-BR"/>
        </w:rPr>
        <w:t>II. CAPÍTULO: CONTROL SEMÁNTICO</w:t>
      </w:r>
      <w:bookmarkEnd w:id="36"/>
    </w:p>
    <w:p w:rsidR="00D85049" w:rsidRPr="00377C46" w:rsidRDefault="00D85049" w:rsidP="00377C46">
      <w:pPr>
        <w:spacing w:before="1440" w:line="480" w:lineRule="auto"/>
        <w:rPr>
          <w:b/>
          <w:u w:val="single"/>
        </w:rPr>
      </w:pPr>
      <w:r w:rsidRPr="00740BE6">
        <w:rPr>
          <w:lang w:val="pt-BR"/>
        </w:rPr>
        <w:br w:type="page"/>
      </w:r>
      <w:r w:rsidR="001B4175" w:rsidRPr="00740BE6">
        <w:rPr>
          <w:b/>
          <w:u w:val="single"/>
        </w:rPr>
        <w:lastRenderedPageBreak/>
        <w:t>2do</w:t>
      </w:r>
      <w:r w:rsidRPr="00740BE6">
        <w:rPr>
          <w:b/>
          <w:u w:val="single"/>
        </w:rPr>
        <w:t xml:space="preserve"> CAPÍTULO</w:t>
      </w:r>
      <w:r w:rsidRPr="00740BE6">
        <w:rPr>
          <w:b/>
        </w:rPr>
        <w:t>: CONTROL SEMÁNTICO</w:t>
      </w:r>
    </w:p>
    <w:p w:rsidR="00D85049" w:rsidRPr="000773A3" w:rsidRDefault="000773A3" w:rsidP="00D85049">
      <w:pPr>
        <w:spacing w:line="480" w:lineRule="auto"/>
        <w:rPr>
          <w:b/>
        </w:rPr>
      </w:pPr>
      <w:r w:rsidRPr="000773A3">
        <w:rPr>
          <w:b/>
        </w:rPr>
        <w:t>Términos más</w:t>
      </w:r>
      <w:r w:rsidR="001B4175" w:rsidRPr="000773A3">
        <w:rPr>
          <w:b/>
        </w:rPr>
        <w:t xml:space="preserve"> utilizados en este documento de tesis:</w:t>
      </w:r>
      <w:r w:rsidR="00210BB4" w:rsidRPr="000773A3">
        <w:rPr>
          <w:b/>
        </w:rPr>
        <w:tab/>
      </w:r>
    </w:p>
    <w:p w:rsidR="00CC7698" w:rsidRDefault="00CC7698" w:rsidP="00CC7698">
      <w:pPr>
        <w:spacing w:line="480" w:lineRule="auto"/>
      </w:pPr>
      <w:r>
        <w:t xml:space="preserve">CI: Cardiopatía Isquémica. </w:t>
      </w:r>
    </w:p>
    <w:p w:rsidR="00CC7698" w:rsidRDefault="00CC7698" w:rsidP="00CC7698">
      <w:pPr>
        <w:spacing w:line="480" w:lineRule="auto"/>
      </w:pPr>
      <w:r>
        <w:t xml:space="preserve">OMS: Organización Mundial de la Salud. </w:t>
      </w:r>
    </w:p>
    <w:p w:rsidR="00CC7698" w:rsidRDefault="00CC7698" w:rsidP="00CC7698">
      <w:pPr>
        <w:spacing w:line="480" w:lineRule="auto"/>
      </w:pPr>
      <w:r>
        <w:t xml:space="preserve">EAC: Enfermedad arterial coronaria. </w:t>
      </w:r>
    </w:p>
    <w:p w:rsidR="00CC7698" w:rsidRDefault="00CC7698" w:rsidP="00CC7698">
      <w:pPr>
        <w:spacing w:line="480" w:lineRule="auto"/>
      </w:pPr>
      <w:r>
        <w:t xml:space="preserve">AHA: American </w:t>
      </w:r>
      <w:proofErr w:type="spellStart"/>
      <w:r>
        <w:t>Heart</w:t>
      </w:r>
      <w:proofErr w:type="spellEnd"/>
      <w:r>
        <w:t xml:space="preserve"> </w:t>
      </w:r>
      <w:proofErr w:type="spellStart"/>
      <w:r>
        <w:t>Association</w:t>
      </w:r>
      <w:proofErr w:type="spellEnd"/>
      <w:r>
        <w:t xml:space="preserve">. </w:t>
      </w:r>
    </w:p>
    <w:p w:rsidR="00CC7698" w:rsidRDefault="00CC7698" w:rsidP="00CC7698">
      <w:pPr>
        <w:spacing w:line="480" w:lineRule="auto"/>
      </w:pPr>
      <w:r>
        <w:t xml:space="preserve">GPM: Gammagrafía de perfusión miocárdica. </w:t>
      </w:r>
    </w:p>
    <w:p w:rsidR="00CC7698" w:rsidRDefault="00CC7698" w:rsidP="00CC7698">
      <w:pPr>
        <w:spacing w:line="480" w:lineRule="auto"/>
      </w:pPr>
      <w:r>
        <w:t xml:space="preserve">SPECT: Tomografía de emisión de fotón único. </w:t>
      </w:r>
    </w:p>
    <w:p w:rsidR="00CC7698" w:rsidRDefault="00CC7698" w:rsidP="00CC7698">
      <w:pPr>
        <w:spacing w:line="480" w:lineRule="auto"/>
      </w:pPr>
      <w:proofErr w:type="spellStart"/>
      <w:r>
        <w:t>gated</w:t>
      </w:r>
      <w:proofErr w:type="spellEnd"/>
      <w:r>
        <w:t xml:space="preserve">-SPECT: SPECT sincronizado con la onda R del electrocardiograma. </w:t>
      </w:r>
    </w:p>
    <w:p w:rsidR="00CC7698" w:rsidRDefault="00CC7698" w:rsidP="00CC7698">
      <w:pPr>
        <w:spacing w:line="480" w:lineRule="auto"/>
      </w:pPr>
      <w:r>
        <w:t xml:space="preserve">99 </w:t>
      </w:r>
      <w:proofErr w:type="spellStart"/>
      <w:r>
        <w:t>mTc</w:t>
      </w:r>
      <w:proofErr w:type="spellEnd"/>
      <w:r>
        <w:t xml:space="preserve">: Tecnecio 99 meta-estable.  </w:t>
      </w:r>
    </w:p>
    <w:p w:rsidR="00CC7698" w:rsidRDefault="00CC7698" w:rsidP="00CC7698">
      <w:pPr>
        <w:spacing w:line="480" w:lineRule="auto"/>
      </w:pPr>
      <w:r>
        <w:t xml:space="preserve">ECG: Electrocardiograma. </w:t>
      </w:r>
    </w:p>
    <w:p w:rsidR="00CC7698" w:rsidRDefault="00CC7698" w:rsidP="00CC7698">
      <w:pPr>
        <w:spacing w:line="480" w:lineRule="auto"/>
      </w:pPr>
      <w:r>
        <w:t xml:space="preserve">FR: Factores de riesgo. </w:t>
      </w:r>
    </w:p>
    <w:p w:rsidR="00CC7698" w:rsidRDefault="00CC7698" w:rsidP="00CC7698">
      <w:pPr>
        <w:spacing w:line="480" w:lineRule="auto"/>
      </w:pPr>
      <w:r>
        <w:t xml:space="preserve">LDL-c: Lipoproteína de baja densidad. </w:t>
      </w:r>
    </w:p>
    <w:p w:rsidR="00CC7698" w:rsidRDefault="00CC7698" w:rsidP="00CC7698">
      <w:pPr>
        <w:spacing w:line="480" w:lineRule="auto"/>
      </w:pPr>
      <w:r>
        <w:t xml:space="preserve">HDL-c: Lipoproteína de alta densidad. </w:t>
      </w:r>
    </w:p>
    <w:p w:rsidR="00CC7698" w:rsidRDefault="00CC7698" w:rsidP="00CC7698">
      <w:pPr>
        <w:spacing w:line="480" w:lineRule="auto"/>
      </w:pPr>
      <w:r>
        <w:t xml:space="preserve">PPT: Probabilidad </w:t>
      </w:r>
      <w:proofErr w:type="spellStart"/>
      <w:r>
        <w:t>pretest</w:t>
      </w:r>
      <w:proofErr w:type="spellEnd"/>
      <w:r>
        <w:t xml:space="preserve">. </w:t>
      </w:r>
    </w:p>
    <w:p w:rsidR="00CC7698" w:rsidRDefault="00CC7698" w:rsidP="00CC7698">
      <w:pPr>
        <w:spacing w:line="480" w:lineRule="auto"/>
      </w:pPr>
      <w:r>
        <w:t xml:space="preserve">PE: Prueba </w:t>
      </w:r>
      <w:proofErr w:type="spellStart"/>
      <w:r>
        <w:t>ergométrica</w:t>
      </w:r>
      <w:proofErr w:type="spellEnd"/>
      <w:r>
        <w:t xml:space="preserve">. </w:t>
      </w:r>
    </w:p>
    <w:p w:rsidR="00CC7698" w:rsidRDefault="00CC7698" w:rsidP="00CC7698">
      <w:pPr>
        <w:spacing w:line="480" w:lineRule="auto"/>
      </w:pPr>
      <w:r>
        <w:t xml:space="preserve">RF: Radiofármaco </w:t>
      </w:r>
    </w:p>
    <w:p w:rsidR="00CC7698" w:rsidRDefault="00CC7698" w:rsidP="00CC7698">
      <w:pPr>
        <w:spacing w:line="480" w:lineRule="auto"/>
      </w:pPr>
      <w:r>
        <w:t xml:space="preserve">ICP: Intervencionismo coronario percutáneo. </w:t>
      </w:r>
    </w:p>
    <w:p w:rsidR="00CC7698" w:rsidRDefault="00CC7698" w:rsidP="00CC7698">
      <w:pPr>
        <w:spacing w:line="480" w:lineRule="auto"/>
      </w:pPr>
      <w:r>
        <w:t xml:space="preserve">CABG: Cirugía de derivación </w:t>
      </w:r>
      <w:proofErr w:type="spellStart"/>
      <w:r>
        <w:t>aorto</w:t>
      </w:r>
      <w:proofErr w:type="spellEnd"/>
      <w:r>
        <w:t xml:space="preserve">-coronaria. </w:t>
      </w:r>
    </w:p>
    <w:p w:rsidR="00CC7698" w:rsidRDefault="00CC7698" w:rsidP="00CC7698">
      <w:pPr>
        <w:spacing w:line="480" w:lineRule="auto"/>
      </w:pPr>
      <w:r>
        <w:t xml:space="preserve">MPI: Imágenes de perfusión miocárdica. </w:t>
      </w:r>
    </w:p>
    <w:p w:rsidR="005E1FA6" w:rsidRDefault="005E1FA6" w:rsidP="00CC7698">
      <w:pPr>
        <w:spacing w:line="480" w:lineRule="auto"/>
      </w:pPr>
      <w:r>
        <w:t xml:space="preserve">PM: Perfusión miocárdica. </w:t>
      </w:r>
    </w:p>
    <w:p w:rsidR="00CC7698" w:rsidRDefault="00CC7698" w:rsidP="00CC7698">
      <w:pPr>
        <w:spacing w:line="480" w:lineRule="auto"/>
      </w:pPr>
      <w:r>
        <w:t xml:space="preserve">FEVI: Fracción de eyección del ventrículo izquierdo. </w:t>
      </w:r>
    </w:p>
    <w:p w:rsidR="00CC7698" w:rsidRDefault="00CC7698" w:rsidP="00CC7698">
      <w:pPr>
        <w:spacing w:line="480" w:lineRule="auto"/>
      </w:pPr>
      <w:r>
        <w:t xml:space="preserve">201 Tl: Talio 201. </w:t>
      </w:r>
    </w:p>
    <w:p w:rsidR="00CC7698" w:rsidRDefault="00CC7698" w:rsidP="00CC7698">
      <w:pPr>
        <w:spacing w:line="480" w:lineRule="auto"/>
      </w:pPr>
      <w:r>
        <w:t xml:space="preserve">MIBI: </w:t>
      </w:r>
      <w:proofErr w:type="spellStart"/>
      <w:r>
        <w:t>metoxi-isobutilo-isonitrilo</w:t>
      </w:r>
      <w:proofErr w:type="spellEnd"/>
      <w:r>
        <w:t xml:space="preserve">. </w:t>
      </w:r>
    </w:p>
    <w:p w:rsidR="00CC7698" w:rsidRDefault="00CC7698" w:rsidP="00CC7698">
      <w:pPr>
        <w:spacing w:line="480" w:lineRule="auto"/>
      </w:pPr>
      <w:r>
        <w:lastRenderedPageBreak/>
        <w:t xml:space="preserve">FCMT: Frecuencia cardiaca máxima teórica. </w:t>
      </w:r>
    </w:p>
    <w:p w:rsidR="00CC7698" w:rsidRDefault="00CC7698" w:rsidP="00CC7698">
      <w:pPr>
        <w:spacing w:line="480" w:lineRule="auto"/>
      </w:pPr>
      <w:r>
        <w:t xml:space="preserve">TID: Dilatación isquémica transitoria. </w:t>
      </w:r>
    </w:p>
    <w:p w:rsidR="00CC7698" w:rsidRDefault="00CC7698" w:rsidP="00CC7698">
      <w:pPr>
        <w:spacing w:line="480" w:lineRule="auto"/>
      </w:pPr>
      <w:r>
        <w:t xml:space="preserve">VFD: Volumen de fin de diástole. </w:t>
      </w:r>
    </w:p>
    <w:p w:rsidR="00CC7698" w:rsidRDefault="00CC7698" w:rsidP="00CC7698">
      <w:pPr>
        <w:spacing w:line="480" w:lineRule="auto"/>
      </w:pPr>
      <w:r>
        <w:t xml:space="preserve">VFS: Volumen de fin de sístole. </w:t>
      </w:r>
    </w:p>
    <w:p w:rsidR="00CC7698" w:rsidRDefault="00CC7698" w:rsidP="00CC7698">
      <w:pPr>
        <w:spacing w:line="480" w:lineRule="auto"/>
      </w:pPr>
      <w:r>
        <w:t xml:space="preserve">TCI: Tronco de la coronaria izquierda. </w:t>
      </w:r>
    </w:p>
    <w:p w:rsidR="002C19D4" w:rsidRPr="00740BE6" w:rsidRDefault="00CC7698" w:rsidP="00CC7698">
      <w:pPr>
        <w:spacing w:line="480" w:lineRule="auto"/>
      </w:pPr>
      <w:r>
        <w:t xml:space="preserve">DA: Coronaria descendente anterior.   </w:t>
      </w:r>
    </w:p>
    <w:p w:rsidR="002C19D4" w:rsidRPr="00740BE6" w:rsidRDefault="002C19D4" w:rsidP="00B50180">
      <w:pPr>
        <w:spacing w:line="480" w:lineRule="auto"/>
      </w:pPr>
    </w:p>
    <w:p w:rsidR="001B4175" w:rsidRPr="00B50180" w:rsidRDefault="00D85049" w:rsidP="00B50180">
      <w:pPr>
        <w:spacing w:line="480" w:lineRule="auto"/>
      </w:pPr>
      <w:r w:rsidRPr="00B50180">
        <w:br w:type="page"/>
      </w:r>
    </w:p>
    <w:p w:rsidR="001B4175" w:rsidRPr="00740BE6" w:rsidRDefault="001B4175" w:rsidP="001B4175">
      <w:pPr>
        <w:pStyle w:val="Ttulo1"/>
        <w:spacing w:line="480" w:lineRule="auto"/>
        <w:rPr>
          <w:sz w:val="32"/>
          <w:szCs w:val="32"/>
          <w:lang w:val="pt-BR"/>
        </w:rPr>
      </w:pPr>
    </w:p>
    <w:p w:rsidR="001B4175" w:rsidRPr="00740BE6" w:rsidRDefault="001B4175" w:rsidP="001B4175">
      <w:pPr>
        <w:pStyle w:val="Ttulo1"/>
        <w:spacing w:line="480" w:lineRule="auto"/>
        <w:rPr>
          <w:sz w:val="32"/>
          <w:szCs w:val="32"/>
          <w:lang w:val="pt-BR"/>
        </w:rPr>
      </w:pPr>
    </w:p>
    <w:p w:rsidR="001B4175" w:rsidRPr="00740BE6" w:rsidRDefault="001B4175" w:rsidP="001B4175">
      <w:pPr>
        <w:pStyle w:val="Ttulo1"/>
        <w:spacing w:line="480" w:lineRule="auto"/>
        <w:rPr>
          <w:sz w:val="32"/>
          <w:szCs w:val="32"/>
          <w:lang w:val="pt-BR"/>
        </w:rPr>
      </w:pPr>
    </w:p>
    <w:p w:rsidR="00F7533D" w:rsidRPr="00740BE6" w:rsidRDefault="0036129C" w:rsidP="000756D2">
      <w:pPr>
        <w:pStyle w:val="Ttulo1"/>
        <w:spacing w:before="2040" w:line="480" w:lineRule="auto"/>
        <w:jc w:val="center"/>
        <w:rPr>
          <w:sz w:val="32"/>
          <w:szCs w:val="32"/>
          <w:lang w:val="pt-BR"/>
        </w:rPr>
      </w:pPr>
      <w:bookmarkStart w:id="37" w:name="_Toc518382542"/>
      <w:r w:rsidRPr="00740BE6">
        <w:rPr>
          <w:sz w:val="32"/>
          <w:szCs w:val="32"/>
          <w:lang w:val="pt-BR"/>
        </w:rPr>
        <w:t>II</w:t>
      </w:r>
      <w:r w:rsidR="001B4175" w:rsidRPr="00740BE6">
        <w:rPr>
          <w:sz w:val="32"/>
          <w:szCs w:val="32"/>
          <w:lang w:val="pt-BR"/>
        </w:rPr>
        <w:t>I</w:t>
      </w:r>
      <w:r w:rsidRPr="00740BE6">
        <w:rPr>
          <w:sz w:val="32"/>
          <w:szCs w:val="32"/>
          <w:lang w:val="pt-BR"/>
        </w:rPr>
        <w:t>.</w:t>
      </w:r>
      <w:r w:rsidR="00F7533D" w:rsidRPr="00740BE6">
        <w:rPr>
          <w:sz w:val="32"/>
          <w:szCs w:val="32"/>
          <w:lang w:val="pt-BR"/>
        </w:rPr>
        <w:t xml:space="preserve"> CAPÍTULO</w:t>
      </w:r>
      <w:r w:rsidR="00D002E6" w:rsidRPr="00740BE6">
        <w:rPr>
          <w:sz w:val="32"/>
          <w:szCs w:val="32"/>
          <w:lang w:val="pt-BR"/>
        </w:rPr>
        <w:t xml:space="preserve">: </w:t>
      </w:r>
      <w:r w:rsidR="0036699F" w:rsidRPr="00740BE6">
        <w:rPr>
          <w:sz w:val="32"/>
          <w:szCs w:val="32"/>
          <w:lang w:val="pt-BR"/>
        </w:rPr>
        <w:t>MATERIAL Y MÉTODOS</w:t>
      </w:r>
      <w:bookmarkEnd w:id="37"/>
    </w:p>
    <w:p w:rsidR="00831CFC" w:rsidRPr="00740BE6" w:rsidRDefault="00F7533D" w:rsidP="003D37CF">
      <w:pPr>
        <w:spacing w:before="1440" w:line="480" w:lineRule="auto"/>
        <w:rPr>
          <w:b/>
          <w:u w:val="single"/>
        </w:rPr>
      </w:pPr>
      <w:r w:rsidRPr="00740BE6">
        <w:rPr>
          <w:lang w:val="pt-BR"/>
        </w:rPr>
        <w:br w:type="page"/>
      </w:r>
      <w:r w:rsidR="001B4175" w:rsidRPr="00740BE6">
        <w:rPr>
          <w:b/>
          <w:u w:val="single"/>
        </w:rPr>
        <w:lastRenderedPageBreak/>
        <w:t>3er</w:t>
      </w:r>
      <w:r w:rsidR="00831CFC" w:rsidRPr="00740BE6">
        <w:rPr>
          <w:b/>
          <w:u w:val="single"/>
        </w:rPr>
        <w:t xml:space="preserve"> CAPÍTULO</w:t>
      </w:r>
      <w:r w:rsidR="00831CFC" w:rsidRPr="00740BE6">
        <w:rPr>
          <w:b/>
        </w:rPr>
        <w:t xml:space="preserve">: </w:t>
      </w:r>
      <w:r w:rsidR="0036699F" w:rsidRPr="00740BE6">
        <w:rPr>
          <w:b/>
        </w:rPr>
        <w:t>MATERIAL Y MÉTODOS</w:t>
      </w:r>
    </w:p>
    <w:p w:rsidR="00831CFC" w:rsidRPr="00740BE6" w:rsidRDefault="00831CFC" w:rsidP="00B50180">
      <w:pPr>
        <w:spacing w:line="480" w:lineRule="auto"/>
      </w:pPr>
    </w:p>
    <w:p w:rsidR="00831CFC" w:rsidRPr="00740BE6" w:rsidRDefault="00F4613C" w:rsidP="00FB2DD5">
      <w:pPr>
        <w:pStyle w:val="Ttulo2"/>
        <w:spacing w:line="480" w:lineRule="auto"/>
        <w:rPr>
          <w:bCs/>
        </w:rPr>
      </w:pPr>
      <w:bookmarkStart w:id="38" w:name="_Toc518382543"/>
      <w:r w:rsidRPr="00740BE6">
        <w:rPr>
          <w:bCs/>
        </w:rPr>
        <w:t>3.1-</w:t>
      </w:r>
      <w:r w:rsidR="00831CFC" w:rsidRPr="00740BE6">
        <w:rPr>
          <w:bCs/>
        </w:rPr>
        <w:t xml:space="preserve"> Tipo de investigación</w:t>
      </w:r>
      <w:bookmarkEnd w:id="38"/>
    </w:p>
    <w:p w:rsidR="00831785" w:rsidRDefault="00CC7698" w:rsidP="00831785">
      <w:pPr>
        <w:spacing w:line="480" w:lineRule="auto"/>
      </w:pPr>
      <w:r w:rsidRPr="00CC7698">
        <w:t xml:space="preserve">Se realizó un estudio observacional, descriptivo, de corte </w:t>
      </w:r>
      <w:r w:rsidR="00831785">
        <w:t>longitudinal prospectivo</w:t>
      </w:r>
      <w:r w:rsidR="00831785" w:rsidRPr="00CC7698">
        <w:t>.</w:t>
      </w:r>
    </w:p>
    <w:p w:rsidR="00F67184" w:rsidRPr="00740BE6" w:rsidRDefault="00F67184" w:rsidP="00EF6D32">
      <w:pPr>
        <w:spacing w:line="480" w:lineRule="auto"/>
      </w:pPr>
    </w:p>
    <w:p w:rsidR="00B77468" w:rsidRPr="00740BE6" w:rsidRDefault="00F4613C" w:rsidP="00FB2DD5">
      <w:pPr>
        <w:pStyle w:val="Ttulo2"/>
        <w:spacing w:line="480" w:lineRule="auto"/>
        <w:rPr>
          <w:bCs/>
        </w:rPr>
      </w:pPr>
      <w:bookmarkStart w:id="39" w:name="_Toc518382544"/>
      <w:r w:rsidRPr="00740BE6">
        <w:rPr>
          <w:bCs/>
        </w:rPr>
        <w:t>3.2-</w:t>
      </w:r>
      <w:r w:rsidR="00B77468" w:rsidRPr="00740BE6">
        <w:rPr>
          <w:bCs/>
        </w:rPr>
        <w:t xml:space="preserve"> Período y lugar donde se desarrolla la investigación</w:t>
      </w:r>
      <w:bookmarkEnd w:id="39"/>
    </w:p>
    <w:p w:rsidR="00CC7698" w:rsidRDefault="00CC7698" w:rsidP="00CC7698">
      <w:pPr>
        <w:spacing w:line="480" w:lineRule="auto"/>
      </w:pPr>
      <w:r>
        <w:t xml:space="preserve">La investigación se realizó desde enero del 2018 hasta diciembre del 2019, </w:t>
      </w:r>
    </w:p>
    <w:p w:rsidR="00B77468" w:rsidRDefault="00CC7698" w:rsidP="00EF6D32">
      <w:pPr>
        <w:spacing w:line="480" w:lineRule="auto"/>
      </w:pPr>
      <w:r>
        <w:t xml:space="preserve">en el departamento de Medicina Nuclear del </w:t>
      </w:r>
      <w:proofErr w:type="spellStart"/>
      <w:r>
        <w:t>Cardiocentro</w:t>
      </w:r>
      <w:proofErr w:type="spellEnd"/>
      <w:r>
        <w:t xml:space="preserve"> del CIMEQ.</w:t>
      </w:r>
    </w:p>
    <w:p w:rsidR="00F67184" w:rsidRPr="00740BE6" w:rsidRDefault="00F67184" w:rsidP="00EF6D32">
      <w:pPr>
        <w:spacing w:line="480" w:lineRule="auto"/>
      </w:pPr>
    </w:p>
    <w:p w:rsidR="00831CFC" w:rsidRPr="00740BE6" w:rsidRDefault="00F4613C" w:rsidP="00FB2DD5">
      <w:pPr>
        <w:pStyle w:val="Ttulo2"/>
        <w:spacing w:line="480" w:lineRule="auto"/>
        <w:rPr>
          <w:bCs/>
        </w:rPr>
      </w:pPr>
      <w:bookmarkStart w:id="40" w:name="_Toc518382545"/>
      <w:r w:rsidRPr="00740BE6">
        <w:rPr>
          <w:bCs/>
        </w:rPr>
        <w:t>3.3-</w:t>
      </w:r>
      <w:r w:rsidR="00831CFC" w:rsidRPr="00740BE6">
        <w:rPr>
          <w:bCs/>
        </w:rPr>
        <w:t xml:space="preserve"> Universo</w:t>
      </w:r>
      <w:r w:rsidR="00757AF8">
        <w:rPr>
          <w:bCs/>
        </w:rPr>
        <w:t xml:space="preserve"> o</w:t>
      </w:r>
      <w:r w:rsidR="00831CFC" w:rsidRPr="00740BE6">
        <w:rPr>
          <w:bCs/>
        </w:rPr>
        <w:t xml:space="preserve"> muestra</w:t>
      </w:r>
      <w:bookmarkEnd w:id="40"/>
    </w:p>
    <w:p w:rsidR="00F67184" w:rsidRDefault="00F67184" w:rsidP="00F67184">
      <w:pPr>
        <w:spacing w:line="480" w:lineRule="auto"/>
      </w:pPr>
      <w:r>
        <w:t>El uni</w:t>
      </w:r>
      <w:r w:rsidR="00297763">
        <w:t>verso estuvo constituido por 180</w:t>
      </w:r>
      <w:r>
        <w:t xml:space="preserve"> pacientes, a los cuales se les realizó </w:t>
      </w:r>
    </w:p>
    <w:p w:rsidR="00831CFC" w:rsidRPr="00740BE6" w:rsidRDefault="00F67184" w:rsidP="00F67184">
      <w:pPr>
        <w:spacing w:line="480" w:lineRule="auto"/>
      </w:pPr>
      <w:r>
        <w:t>gammagrafía de perfusión miocárdica durante el período en estudio.</w:t>
      </w:r>
    </w:p>
    <w:p w:rsidR="00F67184" w:rsidRPr="000773A3" w:rsidRDefault="00F67184" w:rsidP="00F67184">
      <w:pPr>
        <w:spacing w:line="480" w:lineRule="auto"/>
        <w:rPr>
          <w:b/>
        </w:rPr>
      </w:pPr>
      <w:r w:rsidRPr="000773A3">
        <w:rPr>
          <w:b/>
        </w:rPr>
        <w:t xml:space="preserve">Criterios de inclusión: </w:t>
      </w:r>
    </w:p>
    <w:p w:rsidR="00F67184" w:rsidRDefault="00F67184" w:rsidP="00F67184">
      <w:pPr>
        <w:spacing w:line="480" w:lineRule="auto"/>
      </w:pPr>
      <w:r>
        <w:t xml:space="preserve">Todos los pacientes con EAC sospechada o conocida que se realizaron </w:t>
      </w:r>
    </w:p>
    <w:p w:rsidR="00F67184" w:rsidRDefault="00E735F4" w:rsidP="00F67184">
      <w:pPr>
        <w:spacing w:line="480" w:lineRule="auto"/>
      </w:pPr>
      <w:r>
        <w:t>estudios de GPM para detectar isquemia.</w:t>
      </w:r>
    </w:p>
    <w:p w:rsidR="00F67184" w:rsidRPr="000773A3" w:rsidRDefault="00F67184" w:rsidP="00EF6D32">
      <w:pPr>
        <w:spacing w:line="480" w:lineRule="auto"/>
        <w:rPr>
          <w:b/>
        </w:rPr>
      </w:pPr>
      <w:r w:rsidRPr="000773A3">
        <w:rPr>
          <w:b/>
        </w:rPr>
        <w:t>Criterios de exclusión:</w:t>
      </w:r>
    </w:p>
    <w:p w:rsidR="00F67184" w:rsidRDefault="00F67184" w:rsidP="000773A3">
      <w:pPr>
        <w:pStyle w:val="Prrafodelista"/>
        <w:numPr>
          <w:ilvl w:val="0"/>
          <w:numId w:val="45"/>
        </w:numPr>
        <w:spacing w:line="480" w:lineRule="auto"/>
      </w:pPr>
      <w:r>
        <w:t>Pacientes embarazadas.</w:t>
      </w:r>
    </w:p>
    <w:p w:rsidR="00F67184" w:rsidRDefault="00F67184" w:rsidP="000773A3">
      <w:pPr>
        <w:pStyle w:val="Prrafodelista"/>
        <w:numPr>
          <w:ilvl w:val="0"/>
          <w:numId w:val="45"/>
        </w:numPr>
        <w:spacing w:line="480" w:lineRule="auto"/>
      </w:pPr>
      <w:r>
        <w:t>Pacientes en período de lactancia.</w:t>
      </w:r>
    </w:p>
    <w:p w:rsidR="00E735F4" w:rsidRDefault="00F67184" w:rsidP="00E735F4">
      <w:pPr>
        <w:pStyle w:val="Prrafodelista"/>
        <w:numPr>
          <w:ilvl w:val="0"/>
          <w:numId w:val="45"/>
        </w:numPr>
        <w:spacing w:line="480" w:lineRule="auto"/>
      </w:pPr>
      <w:r>
        <w:t xml:space="preserve">Pacientes menores de 18 años. </w:t>
      </w:r>
    </w:p>
    <w:p w:rsidR="00831CFC" w:rsidRPr="00740BE6" w:rsidRDefault="00F67184" w:rsidP="000773A3">
      <w:pPr>
        <w:pStyle w:val="Prrafodelista"/>
        <w:numPr>
          <w:ilvl w:val="0"/>
          <w:numId w:val="45"/>
        </w:numPr>
        <w:spacing w:line="480" w:lineRule="auto"/>
      </w:pPr>
      <w:r>
        <w:t xml:space="preserve">Pacientes cuyos datos no hayan sido recogidos de forma completa.   </w:t>
      </w:r>
    </w:p>
    <w:p w:rsidR="00831CFC" w:rsidRPr="00740BE6" w:rsidRDefault="00F4613C" w:rsidP="00FB2DD5">
      <w:pPr>
        <w:pStyle w:val="Ttulo2"/>
        <w:spacing w:line="480" w:lineRule="auto"/>
        <w:rPr>
          <w:bCs/>
        </w:rPr>
      </w:pPr>
      <w:bookmarkStart w:id="41" w:name="_Toc518382546"/>
      <w:r w:rsidRPr="00740BE6">
        <w:rPr>
          <w:bCs/>
        </w:rPr>
        <w:t>3.4-</w:t>
      </w:r>
      <w:r w:rsidR="00831CFC" w:rsidRPr="00740BE6">
        <w:rPr>
          <w:bCs/>
        </w:rPr>
        <w:t xml:space="preserve"> </w:t>
      </w:r>
      <w:proofErr w:type="spellStart"/>
      <w:r w:rsidR="00831CFC" w:rsidRPr="00740BE6">
        <w:rPr>
          <w:bCs/>
        </w:rPr>
        <w:t>Operacionalización</w:t>
      </w:r>
      <w:proofErr w:type="spellEnd"/>
      <w:r w:rsidR="00831CFC" w:rsidRPr="00740BE6">
        <w:rPr>
          <w:bCs/>
        </w:rPr>
        <w:t xml:space="preserve"> de las variables</w:t>
      </w:r>
      <w:bookmarkEnd w:id="41"/>
    </w:p>
    <w:p w:rsidR="00831CFC" w:rsidRPr="000773A3" w:rsidRDefault="00F67184" w:rsidP="000773A3">
      <w:pPr>
        <w:pStyle w:val="Prrafodelista"/>
        <w:numPr>
          <w:ilvl w:val="0"/>
          <w:numId w:val="45"/>
        </w:numPr>
        <w:spacing w:line="480" w:lineRule="auto"/>
        <w:rPr>
          <w:u w:val="single"/>
        </w:rPr>
      </w:pPr>
      <w:r w:rsidRPr="000773A3">
        <w:rPr>
          <w:u w:val="single"/>
        </w:rPr>
        <w:t>Variables para identificar las características clínico-demográficas de los pacientes:</w:t>
      </w:r>
    </w:p>
    <w:tbl>
      <w:tblPr>
        <w:tblStyle w:val="Tablaconcuadrcula"/>
        <w:tblW w:w="9067" w:type="dxa"/>
        <w:tblLayout w:type="fixed"/>
        <w:tblLook w:val="04A0" w:firstRow="1" w:lastRow="0" w:firstColumn="1" w:lastColumn="0" w:noHBand="0" w:noVBand="1"/>
      </w:tblPr>
      <w:tblGrid>
        <w:gridCol w:w="1615"/>
        <w:gridCol w:w="1950"/>
        <w:gridCol w:w="3093"/>
        <w:gridCol w:w="2409"/>
      </w:tblGrid>
      <w:tr w:rsidR="000773A3" w:rsidRPr="00DA0CA7" w:rsidTr="00AE1EA0">
        <w:trPr>
          <w:trHeight w:val="286"/>
        </w:trPr>
        <w:tc>
          <w:tcPr>
            <w:tcW w:w="1615" w:type="dxa"/>
            <w:shd w:val="clear" w:color="auto" w:fill="FF9999"/>
          </w:tcPr>
          <w:p w:rsidR="000773A3" w:rsidRPr="00DA0CA7" w:rsidRDefault="000773A3" w:rsidP="00AE1EA0">
            <w:pPr>
              <w:pStyle w:val="Textoindependiente"/>
              <w:ind w:right="279"/>
              <w:jc w:val="center"/>
              <w:rPr>
                <w:b/>
                <w:bCs/>
                <w:lang w:val="es-MX"/>
              </w:rPr>
            </w:pPr>
            <w:r w:rsidRPr="00DA0CA7">
              <w:rPr>
                <w:b/>
                <w:bCs/>
                <w:lang w:val="es-MX"/>
              </w:rPr>
              <w:lastRenderedPageBreak/>
              <w:t>Variable</w:t>
            </w:r>
          </w:p>
        </w:tc>
        <w:tc>
          <w:tcPr>
            <w:tcW w:w="1950" w:type="dxa"/>
            <w:shd w:val="clear" w:color="auto" w:fill="FF9999"/>
          </w:tcPr>
          <w:p w:rsidR="000773A3" w:rsidRPr="00DA0CA7" w:rsidRDefault="000773A3" w:rsidP="00AE1EA0">
            <w:pPr>
              <w:pStyle w:val="Textoindependiente"/>
              <w:ind w:right="279"/>
              <w:jc w:val="center"/>
              <w:rPr>
                <w:b/>
                <w:bCs/>
                <w:lang w:val="es-MX"/>
              </w:rPr>
            </w:pPr>
            <w:r w:rsidRPr="00DA0CA7">
              <w:rPr>
                <w:b/>
                <w:bCs/>
                <w:lang w:val="es-MX"/>
              </w:rPr>
              <w:t>Clasificación</w:t>
            </w:r>
          </w:p>
        </w:tc>
        <w:tc>
          <w:tcPr>
            <w:tcW w:w="3093" w:type="dxa"/>
            <w:shd w:val="clear" w:color="auto" w:fill="FF9999"/>
          </w:tcPr>
          <w:p w:rsidR="000773A3" w:rsidRPr="00DA0CA7" w:rsidRDefault="000773A3" w:rsidP="00AE1EA0">
            <w:pPr>
              <w:pStyle w:val="Textoindependiente"/>
              <w:ind w:right="279"/>
              <w:jc w:val="center"/>
              <w:rPr>
                <w:b/>
                <w:bCs/>
                <w:lang w:val="es-MX"/>
              </w:rPr>
            </w:pPr>
            <w:r w:rsidRPr="00DA0CA7">
              <w:rPr>
                <w:b/>
                <w:bCs/>
                <w:lang w:val="es-MX"/>
              </w:rPr>
              <w:t>Definición</w:t>
            </w:r>
          </w:p>
        </w:tc>
        <w:tc>
          <w:tcPr>
            <w:tcW w:w="2409" w:type="dxa"/>
            <w:shd w:val="clear" w:color="auto" w:fill="FF9999"/>
          </w:tcPr>
          <w:p w:rsidR="000773A3" w:rsidRPr="00DA0CA7" w:rsidRDefault="000773A3" w:rsidP="00AE1EA0">
            <w:pPr>
              <w:pStyle w:val="Textoindependiente"/>
              <w:ind w:right="279"/>
              <w:jc w:val="center"/>
              <w:rPr>
                <w:b/>
                <w:bCs/>
                <w:lang w:val="es-MX"/>
              </w:rPr>
            </w:pPr>
            <w:r w:rsidRPr="00DA0CA7">
              <w:rPr>
                <w:b/>
                <w:bCs/>
                <w:lang w:val="es-MX"/>
              </w:rPr>
              <w:t>Escala de clasificación</w:t>
            </w:r>
          </w:p>
        </w:tc>
      </w:tr>
      <w:tr w:rsidR="000773A3" w:rsidRPr="00DA0CA7" w:rsidTr="00AE1EA0">
        <w:trPr>
          <w:trHeight w:val="867"/>
        </w:trPr>
        <w:tc>
          <w:tcPr>
            <w:tcW w:w="1615" w:type="dxa"/>
          </w:tcPr>
          <w:p w:rsidR="000773A3" w:rsidRPr="00DA0CA7" w:rsidRDefault="000773A3" w:rsidP="00AE1EA0">
            <w:pPr>
              <w:pStyle w:val="Textoindependiente"/>
              <w:ind w:right="279"/>
              <w:rPr>
                <w:b/>
                <w:bCs/>
                <w:lang w:val="es-MX"/>
              </w:rPr>
            </w:pPr>
            <w:r w:rsidRPr="00DA0CA7">
              <w:rPr>
                <w:b/>
                <w:bCs/>
                <w:lang w:val="es-MX"/>
              </w:rPr>
              <w:t>Edad</w:t>
            </w:r>
          </w:p>
        </w:tc>
        <w:tc>
          <w:tcPr>
            <w:tcW w:w="1950" w:type="dxa"/>
          </w:tcPr>
          <w:p w:rsidR="000773A3" w:rsidRPr="00DA0CA7" w:rsidRDefault="000773A3" w:rsidP="00AE1EA0">
            <w:pPr>
              <w:pStyle w:val="Textoindependiente"/>
              <w:jc w:val="center"/>
              <w:rPr>
                <w:lang w:val="es-ES_tradnl"/>
              </w:rPr>
            </w:pPr>
            <w:r w:rsidRPr="00DA0CA7">
              <w:rPr>
                <w:lang w:val="es-ES_tradnl"/>
              </w:rPr>
              <w:t>Cuantitativa discreta</w:t>
            </w:r>
          </w:p>
        </w:tc>
        <w:tc>
          <w:tcPr>
            <w:tcW w:w="3093" w:type="dxa"/>
          </w:tcPr>
          <w:p w:rsidR="000773A3" w:rsidRPr="00DA0CA7" w:rsidRDefault="000773A3" w:rsidP="00AE1EA0">
            <w:pPr>
              <w:pStyle w:val="Textoindependiente"/>
              <w:rPr>
                <w:lang w:val="es-ES_tradnl"/>
              </w:rPr>
            </w:pPr>
            <w:r w:rsidRPr="00DA0CA7">
              <w:rPr>
                <w:lang w:val="es-ES_tradnl"/>
              </w:rPr>
              <w:t>Según los años cumplidos</w:t>
            </w:r>
          </w:p>
        </w:tc>
        <w:tc>
          <w:tcPr>
            <w:tcW w:w="2409" w:type="dxa"/>
          </w:tcPr>
          <w:p w:rsidR="000773A3" w:rsidRPr="00DA0CA7" w:rsidRDefault="000773A3" w:rsidP="00AE1EA0">
            <w:pPr>
              <w:pStyle w:val="Textoindependiente"/>
              <w:rPr>
                <w:lang w:val="es-ES_tradnl"/>
              </w:rPr>
            </w:pPr>
          </w:p>
        </w:tc>
      </w:tr>
      <w:tr w:rsidR="000773A3" w:rsidRPr="00DA0CA7" w:rsidTr="00AE1EA0">
        <w:trPr>
          <w:trHeight w:val="946"/>
        </w:trPr>
        <w:tc>
          <w:tcPr>
            <w:tcW w:w="1615" w:type="dxa"/>
          </w:tcPr>
          <w:p w:rsidR="000773A3" w:rsidRPr="00DA0CA7" w:rsidRDefault="000773A3" w:rsidP="00AE1EA0">
            <w:pPr>
              <w:pStyle w:val="Textoindependiente"/>
              <w:rPr>
                <w:b/>
                <w:bCs/>
                <w:lang w:val="es-ES_tradnl"/>
              </w:rPr>
            </w:pPr>
            <w:r w:rsidRPr="00DA0CA7">
              <w:rPr>
                <w:b/>
                <w:bCs/>
                <w:lang w:val="es-ES_tradnl"/>
              </w:rPr>
              <w:t>Sexo</w:t>
            </w:r>
          </w:p>
        </w:tc>
        <w:tc>
          <w:tcPr>
            <w:tcW w:w="1950" w:type="dxa"/>
          </w:tcPr>
          <w:p w:rsidR="000773A3" w:rsidRPr="00DA0CA7" w:rsidRDefault="000773A3" w:rsidP="00AE1EA0">
            <w:pPr>
              <w:pStyle w:val="Textoindependiente"/>
              <w:jc w:val="center"/>
              <w:rPr>
                <w:lang w:val="es-ES_tradnl"/>
              </w:rPr>
            </w:pPr>
            <w:r w:rsidRPr="00DA0CA7">
              <w:rPr>
                <w:lang w:val="es-ES_tradnl"/>
              </w:rPr>
              <w:t>Cualitativa nominal dicotómica</w:t>
            </w:r>
          </w:p>
        </w:tc>
        <w:tc>
          <w:tcPr>
            <w:tcW w:w="3093" w:type="dxa"/>
          </w:tcPr>
          <w:p w:rsidR="000773A3" w:rsidRPr="00DA0CA7" w:rsidRDefault="000773A3" w:rsidP="00AE1EA0">
            <w:pPr>
              <w:pStyle w:val="Textoindependiente"/>
              <w:rPr>
                <w:bCs/>
                <w:lang w:val="es-MX"/>
              </w:rPr>
            </w:pPr>
            <w:r w:rsidRPr="00DA0CA7">
              <w:rPr>
                <w:lang w:val="es-ES_tradnl"/>
              </w:rPr>
              <w:t>Según su sexo biológico</w:t>
            </w:r>
          </w:p>
        </w:tc>
        <w:tc>
          <w:tcPr>
            <w:tcW w:w="2409" w:type="dxa"/>
          </w:tcPr>
          <w:p w:rsidR="000773A3" w:rsidRPr="00DA0CA7" w:rsidRDefault="000773A3" w:rsidP="00AE1EA0">
            <w:pPr>
              <w:pStyle w:val="Textoindependiente"/>
              <w:rPr>
                <w:lang w:val="es-ES_tradnl"/>
              </w:rPr>
            </w:pPr>
            <w:r w:rsidRPr="00DA0CA7">
              <w:rPr>
                <w:lang w:val="es-ES_tradnl"/>
              </w:rPr>
              <w:t>Masculino</w:t>
            </w:r>
          </w:p>
          <w:p w:rsidR="000773A3" w:rsidRPr="00DA0CA7" w:rsidRDefault="000773A3" w:rsidP="00AE1EA0">
            <w:pPr>
              <w:pStyle w:val="Textoindependiente"/>
              <w:rPr>
                <w:lang w:val="es-ES_tradnl"/>
              </w:rPr>
            </w:pPr>
            <w:r w:rsidRPr="00DA0CA7">
              <w:rPr>
                <w:lang w:val="es-ES_tradnl"/>
              </w:rPr>
              <w:t xml:space="preserve">Femenino </w:t>
            </w:r>
          </w:p>
        </w:tc>
      </w:tr>
      <w:tr w:rsidR="000773A3" w:rsidRPr="00DA0CA7" w:rsidTr="00AE1EA0">
        <w:tc>
          <w:tcPr>
            <w:tcW w:w="1615" w:type="dxa"/>
          </w:tcPr>
          <w:p w:rsidR="000773A3" w:rsidRPr="00DA0CA7" w:rsidRDefault="000773A3" w:rsidP="00AE1EA0">
            <w:pPr>
              <w:pStyle w:val="Textoindependiente"/>
              <w:rPr>
                <w:b/>
                <w:bCs/>
                <w:lang w:val="es-ES_tradnl"/>
              </w:rPr>
            </w:pPr>
            <w:r w:rsidRPr="00DA0CA7">
              <w:rPr>
                <w:b/>
                <w:bCs/>
                <w:lang w:val="es-ES_tradnl"/>
              </w:rPr>
              <w:t>Factores de riesgo de EAC.</w:t>
            </w:r>
          </w:p>
          <w:p w:rsidR="000773A3" w:rsidRPr="00DA0CA7" w:rsidRDefault="000773A3" w:rsidP="00AE1EA0">
            <w:pPr>
              <w:pStyle w:val="Textoindependiente"/>
              <w:ind w:right="279"/>
              <w:rPr>
                <w:bCs/>
                <w:lang w:val="es-MX"/>
              </w:rPr>
            </w:pPr>
          </w:p>
        </w:tc>
        <w:tc>
          <w:tcPr>
            <w:tcW w:w="1950" w:type="dxa"/>
          </w:tcPr>
          <w:p w:rsidR="000773A3" w:rsidRPr="00DA0CA7" w:rsidRDefault="000773A3" w:rsidP="00AE1EA0">
            <w:pPr>
              <w:pStyle w:val="Textoindependiente"/>
              <w:jc w:val="center"/>
              <w:rPr>
                <w:lang w:val="es-ES_tradnl"/>
              </w:rPr>
            </w:pPr>
            <w:r w:rsidRPr="00DA0CA7">
              <w:rPr>
                <w:lang w:val="es-ES_tradnl"/>
              </w:rPr>
              <w:t xml:space="preserve">Cualitativa nominal </w:t>
            </w:r>
            <w:proofErr w:type="spellStart"/>
            <w:r w:rsidRPr="00DA0CA7">
              <w:rPr>
                <w:lang w:val="es-ES_tradnl"/>
              </w:rPr>
              <w:t>politómica</w:t>
            </w:r>
            <w:proofErr w:type="spellEnd"/>
            <w:r w:rsidRPr="00DA0CA7">
              <w:rPr>
                <w:lang w:val="es-ES_tradnl"/>
              </w:rPr>
              <w:t>.</w:t>
            </w:r>
          </w:p>
          <w:p w:rsidR="000773A3" w:rsidRPr="00DA0CA7" w:rsidRDefault="000773A3" w:rsidP="00AE1EA0">
            <w:pPr>
              <w:pStyle w:val="Textoindependiente"/>
              <w:jc w:val="center"/>
              <w:rPr>
                <w:lang w:val="es-ES_tradnl"/>
              </w:rPr>
            </w:pPr>
          </w:p>
          <w:p w:rsidR="000773A3" w:rsidRPr="00DA0CA7" w:rsidRDefault="000773A3" w:rsidP="00AE1EA0">
            <w:pPr>
              <w:pStyle w:val="Textoindependiente"/>
              <w:jc w:val="center"/>
              <w:rPr>
                <w:lang w:val="es-ES_tradnl"/>
              </w:rPr>
            </w:pPr>
          </w:p>
          <w:p w:rsidR="000773A3" w:rsidRPr="00DA0CA7" w:rsidRDefault="000773A3" w:rsidP="00AE1EA0">
            <w:pPr>
              <w:pStyle w:val="Textoindependiente"/>
              <w:jc w:val="center"/>
              <w:rPr>
                <w:lang w:val="es-ES_tradnl"/>
              </w:rPr>
            </w:pPr>
          </w:p>
          <w:p w:rsidR="000773A3" w:rsidRPr="00DA0CA7" w:rsidRDefault="000773A3" w:rsidP="00AE1EA0">
            <w:pPr>
              <w:pStyle w:val="Textoindependiente"/>
              <w:jc w:val="center"/>
              <w:rPr>
                <w:lang w:val="es-ES_tradnl"/>
              </w:rPr>
            </w:pPr>
          </w:p>
          <w:p w:rsidR="000773A3" w:rsidRPr="00DA0CA7" w:rsidRDefault="000773A3" w:rsidP="00AE1EA0">
            <w:pPr>
              <w:pStyle w:val="Textoindependiente"/>
              <w:jc w:val="center"/>
              <w:rPr>
                <w:lang w:val="es-ES_tradnl"/>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p w:rsidR="000773A3" w:rsidRPr="00DA0CA7" w:rsidRDefault="000773A3" w:rsidP="00AE1EA0">
            <w:pPr>
              <w:pStyle w:val="Textoindependiente"/>
              <w:jc w:val="center"/>
              <w:rPr>
                <w:lang w:val="es-MX"/>
              </w:rPr>
            </w:pPr>
          </w:p>
        </w:tc>
        <w:tc>
          <w:tcPr>
            <w:tcW w:w="3093" w:type="dxa"/>
          </w:tcPr>
          <w:p w:rsidR="000773A3" w:rsidRPr="00DB636F" w:rsidRDefault="000773A3" w:rsidP="00AE1EA0">
            <w:pPr>
              <w:pStyle w:val="Textoindependiente"/>
              <w:rPr>
                <w:lang w:val="es-ES_tradnl"/>
              </w:rPr>
            </w:pPr>
            <w:proofErr w:type="spellStart"/>
            <w:r w:rsidRPr="00DA0CA7">
              <w:rPr>
                <w:lang w:val="es-ES_tradnl"/>
              </w:rPr>
              <w:lastRenderedPageBreak/>
              <w:t>Dislipidemia</w:t>
            </w:r>
            <w:proofErr w:type="spellEnd"/>
            <w:r>
              <w:rPr>
                <w:lang w:val="es-ES_tradnl"/>
              </w:rPr>
              <w:t xml:space="preserve">: </w:t>
            </w:r>
            <w:r w:rsidRPr="00DA0CA7">
              <w:rPr>
                <w:lang w:val="es-ES_tradnl"/>
              </w:rPr>
              <w:t xml:space="preserve">Se considerará </w:t>
            </w:r>
            <w:proofErr w:type="spellStart"/>
            <w:r w:rsidRPr="00DA0CA7">
              <w:rPr>
                <w:lang w:val="es-ES_tradnl"/>
              </w:rPr>
              <w:t>dislipidémico</w:t>
            </w:r>
            <w:proofErr w:type="spellEnd"/>
            <w:r w:rsidRPr="00DA0CA7">
              <w:rPr>
                <w:lang w:val="es-ES_tradnl"/>
              </w:rPr>
              <w:t xml:space="preserve"> al paciente con antecedentes de</w:t>
            </w:r>
            <w:r>
              <w:rPr>
                <w:lang w:val="es-ES_tradnl"/>
              </w:rPr>
              <w:t xml:space="preserve"> aumento en las concentraciones </w:t>
            </w:r>
            <w:r w:rsidRPr="00DA0CA7">
              <w:rPr>
                <w:lang w:val="es-ES_tradnl"/>
              </w:rPr>
              <w:t xml:space="preserve">plasmáticas de colesterol </w:t>
            </w:r>
            <w:r w:rsidRPr="00DA0CA7">
              <w:rPr>
                <w:spacing w:val="0"/>
              </w:rPr>
              <w:t xml:space="preserve">≥ 5.25 </w:t>
            </w:r>
            <w:proofErr w:type="spellStart"/>
            <w:r w:rsidRPr="00DA0CA7">
              <w:rPr>
                <w:spacing w:val="0"/>
              </w:rPr>
              <w:t>mmol</w:t>
            </w:r>
            <w:proofErr w:type="spellEnd"/>
            <w:r w:rsidRPr="00DA0CA7">
              <w:rPr>
                <w:spacing w:val="0"/>
              </w:rPr>
              <w:t xml:space="preserve">/L y/o triglicéridos ≥ 1.8 </w:t>
            </w:r>
            <w:proofErr w:type="spellStart"/>
            <w:r w:rsidRPr="00DA0CA7">
              <w:rPr>
                <w:spacing w:val="0"/>
              </w:rPr>
              <w:t>mmol</w:t>
            </w:r>
            <w:proofErr w:type="spellEnd"/>
            <w:r w:rsidRPr="00DA0CA7">
              <w:rPr>
                <w:spacing w:val="0"/>
              </w:rPr>
              <w:t>/L</w:t>
            </w:r>
            <w:r w:rsidRPr="00DA0CA7">
              <w:rPr>
                <w:lang w:val="es-ES_tradnl"/>
              </w:rPr>
              <w:t>.</w:t>
            </w:r>
          </w:p>
          <w:p w:rsidR="000773A3" w:rsidRPr="00DB636F" w:rsidRDefault="00BC42A8" w:rsidP="00AE1EA0">
            <w:pPr>
              <w:pStyle w:val="Textoindependiente"/>
              <w:rPr>
                <w:lang w:val="es-ES_tradnl"/>
              </w:rPr>
            </w:pPr>
            <w:r>
              <w:rPr>
                <w:lang w:val="es-ES_tradnl"/>
              </w:rPr>
              <w:t>Hábito de fumar</w:t>
            </w:r>
            <w:r w:rsidR="000773A3">
              <w:rPr>
                <w:lang w:val="es-ES_tradnl"/>
              </w:rPr>
              <w:t xml:space="preserve">: </w:t>
            </w:r>
            <w:r w:rsidR="000773A3" w:rsidRPr="00DA0CA7">
              <w:rPr>
                <w:bCs/>
                <w:lang w:val="es-MX"/>
              </w:rPr>
              <w:t>Se incluyen a todos los pacientes que tienen hábito de fumar hasta el momento de inicio de la investigación.</w:t>
            </w:r>
          </w:p>
          <w:p w:rsidR="000773A3" w:rsidRPr="006C77F1" w:rsidRDefault="000773A3" w:rsidP="00AE1EA0">
            <w:pPr>
              <w:pStyle w:val="Textoindependiente"/>
              <w:rPr>
                <w:lang w:val="es-MX"/>
              </w:rPr>
            </w:pPr>
            <w:bookmarkStart w:id="42" w:name="_Toc18500381"/>
            <w:bookmarkStart w:id="43" w:name="_Toc21105919"/>
            <w:bookmarkStart w:id="44" w:name="_Toc21106350"/>
            <w:r w:rsidRPr="00DA0CA7">
              <w:rPr>
                <w:lang w:val="es-MX"/>
              </w:rPr>
              <w:t>Hipertensión Arterial esencial</w:t>
            </w:r>
            <w:r>
              <w:rPr>
                <w:lang w:val="es-MX"/>
              </w:rPr>
              <w:t xml:space="preserve"> </w:t>
            </w:r>
            <w:r w:rsidRPr="00DA0CA7">
              <w:rPr>
                <w:lang w:val="es-MX"/>
              </w:rPr>
              <w:t>(HTA)</w:t>
            </w:r>
            <w:r>
              <w:rPr>
                <w:lang w:val="es-MX"/>
              </w:rPr>
              <w:t xml:space="preserve">: </w:t>
            </w:r>
            <w:r w:rsidRPr="00DA0CA7">
              <w:t>Cifras tensionales ≥ 140/90 y/o referencia de enfermedad y/o tratamiento antihipertensivo independientemente de las cifras de tensión arterial.</w:t>
            </w:r>
            <w:bookmarkEnd w:id="42"/>
            <w:bookmarkEnd w:id="43"/>
            <w:bookmarkEnd w:id="44"/>
          </w:p>
          <w:p w:rsidR="000773A3" w:rsidRPr="000D5106" w:rsidRDefault="000773A3" w:rsidP="00AE1EA0">
            <w:pPr>
              <w:pStyle w:val="Textoindependiente"/>
              <w:rPr>
                <w:lang w:val="es-MX"/>
              </w:rPr>
            </w:pPr>
            <w:r w:rsidRPr="00DA0CA7">
              <w:rPr>
                <w:lang w:val="es-MX"/>
              </w:rPr>
              <w:lastRenderedPageBreak/>
              <w:t>Obesidad</w:t>
            </w:r>
            <w:r>
              <w:rPr>
                <w:lang w:val="es-MX"/>
              </w:rPr>
              <w:t xml:space="preserve">: </w:t>
            </w:r>
            <w:r w:rsidR="00297763">
              <w:rPr>
                <w:spacing w:val="0"/>
              </w:rPr>
              <w:t xml:space="preserve">Paciente que presente un </w:t>
            </w:r>
            <w:r w:rsidRPr="00DA0CA7">
              <w:rPr>
                <w:spacing w:val="0"/>
              </w:rPr>
              <w:t xml:space="preserve">índice de masa corporal (IMC; peso en kilogramos dividido por la talla en metros al cuadrado) </w:t>
            </w:r>
            <w:r w:rsidR="00297763">
              <w:rPr>
                <w:spacing w:val="0"/>
              </w:rPr>
              <w:t>mayor o igual que el</w:t>
            </w:r>
            <w:r w:rsidRPr="00DA0CA7">
              <w:rPr>
                <w:spacing w:val="0"/>
              </w:rPr>
              <w:t xml:space="preserve"> valor de 30</w:t>
            </w:r>
            <w:r w:rsidRPr="00DA0CA7">
              <w:rPr>
                <w:b/>
                <w:spacing w:val="0"/>
                <w:lang w:val="es-ES_tradnl" w:eastAsia="es-ES_tradnl"/>
              </w:rPr>
              <w:t>.</w:t>
            </w:r>
          </w:p>
          <w:p w:rsidR="000773A3" w:rsidRPr="000D5106" w:rsidRDefault="000773A3" w:rsidP="00AE1EA0">
            <w:pPr>
              <w:pStyle w:val="Textoindependiente"/>
              <w:rPr>
                <w:lang w:val="es-MX"/>
              </w:rPr>
            </w:pPr>
            <w:r w:rsidRPr="00DA0CA7">
              <w:rPr>
                <w:lang w:val="es-MX"/>
              </w:rPr>
              <w:t>Diabetes Mellitus</w:t>
            </w:r>
            <w:r>
              <w:rPr>
                <w:lang w:val="es-MX"/>
              </w:rPr>
              <w:t xml:space="preserve">: </w:t>
            </w:r>
            <w:r w:rsidRPr="00DA0CA7">
              <w:rPr>
                <w:lang w:val="es-ES_tradnl"/>
              </w:rPr>
              <w:t>Se considerará diabético al paciente con antecedentes de aumento en las concentraciones plasmáticas de glucemia</w:t>
            </w:r>
            <w:r w:rsidRPr="00DA0CA7">
              <w:rPr>
                <w:spacing w:val="0"/>
              </w:rPr>
              <w:t xml:space="preserve">≥ 7.0 </w:t>
            </w:r>
            <w:proofErr w:type="spellStart"/>
            <w:r w:rsidRPr="00DA0CA7">
              <w:rPr>
                <w:spacing w:val="0"/>
              </w:rPr>
              <w:t>mmol</w:t>
            </w:r>
            <w:proofErr w:type="spellEnd"/>
            <w:r w:rsidRPr="00DA0CA7">
              <w:rPr>
                <w:spacing w:val="0"/>
              </w:rPr>
              <w:t xml:space="preserve">/L en ayunas o ≥ 11.1 </w:t>
            </w:r>
            <w:proofErr w:type="spellStart"/>
            <w:r w:rsidRPr="00DA0CA7">
              <w:rPr>
                <w:spacing w:val="0"/>
              </w:rPr>
              <w:t>mmol</w:t>
            </w:r>
            <w:proofErr w:type="spellEnd"/>
            <w:r w:rsidRPr="00DA0CA7">
              <w:rPr>
                <w:spacing w:val="0"/>
              </w:rPr>
              <w:t>/L</w:t>
            </w:r>
            <w:r w:rsidRPr="00DA0CA7">
              <w:rPr>
                <w:lang w:val="es-ES_tradnl"/>
              </w:rPr>
              <w:t xml:space="preserve"> en toma casual o posterior a la ingesta de 75 g de glucosa en 375 ml de agua o tratamiento hipoglucemiante.</w:t>
            </w:r>
          </w:p>
        </w:tc>
        <w:tc>
          <w:tcPr>
            <w:tcW w:w="2409" w:type="dxa"/>
          </w:tcPr>
          <w:p w:rsidR="000773A3" w:rsidRDefault="000773A3" w:rsidP="00AE1EA0">
            <w:pPr>
              <w:pStyle w:val="Textoindependiente"/>
              <w:rPr>
                <w:lang w:val="es-ES_tradnl"/>
              </w:rPr>
            </w:pPr>
          </w:p>
          <w:p w:rsidR="000773A3" w:rsidRDefault="000773A3" w:rsidP="00AE1EA0">
            <w:pPr>
              <w:pStyle w:val="Textoindependiente"/>
              <w:rPr>
                <w:lang w:val="es-ES_tradnl"/>
              </w:rPr>
            </w:pPr>
          </w:p>
          <w:p w:rsidR="000773A3" w:rsidRDefault="000773A3" w:rsidP="00AE1EA0">
            <w:pPr>
              <w:pStyle w:val="Textoindependiente"/>
              <w:rPr>
                <w:lang w:val="es-ES_tradnl"/>
              </w:rPr>
            </w:pPr>
          </w:p>
          <w:p w:rsidR="000773A3" w:rsidRDefault="000773A3" w:rsidP="00AE1EA0">
            <w:pPr>
              <w:pStyle w:val="Textoindependiente"/>
              <w:rPr>
                <w:lang w:val="es-ES_tradnl"/>
              </w:rPr>
            </w:pPr>
            <w:r>
              <w:rPr>
                <w:lang w:val="es-ES_tradnl"/>
              </w:rPr>
              <w:t>Si</w:t>
            </w:r>
          </w:p>
          <w:p w:rsidR="000773A3" w:rsidRPr="00DA0CA7" w:rsidRDefault="000773A3" w:rsidP="00AE1EA0">
            <w:pPr>
              <w:pStyle w:val="Textoindependiente"/>
              <w:rPr>
                <w:lang w:val="es-ES_tradnl"/>
              </w:rPr>
            </w:pPr>
            <w:r>
              <w:rPr>
                <w:lang w:val="es-ES_tradnl"/>
              </w:rPr>
              <w:t>No</w:t>
            </w:r>
          </w:p>
          <w:p w:rsidR="000773A3" w:rsidRPr="00DA0CA7" w:rsidRDefault="000773A3" w:rsidP="00AE1EA0">
            <w:pPr>
              <w:pStyle w:val="Textoindependiente"/>
              <w:rPr>
                <w:lang w:val="es-ES_tradnl"/>
              </w:rPr>
            </w:pPr>
          </w:p>
          <w:p w:rsidR="000773A3" w:rsidRPr="00DA0CA7" w:rsidRDefault="000773A3" w:rsidP="00AE1EA0">
            <w:pPr>
              <w:pStyle w:val="Textoindependiente"/>
              <w:rPr>
                <w:lang w:val="es-ES_tradnl"/>
              </w:rPr>
            </w:pPr>
          </w:p>
        </w:tc>
      </w:tr>
      <w:tr w:rsidR="000773A3" w:rsidRPr="00DA0CA7" w:rsidTr="00AE1EA0">
        <w:tc>
          <w:tcPr>
            <w:tcW w:w="1615" w:type="dxa"/>
          </w:tcPr>
          <w:p w:rsidR="000773A3" w:rsidRPr="00DA0CA7" w:rsidRDefault="000773A3" w:rsidP="00AE1EA0">
            <w:pPr>
              <w:pStyle w:val="Textoindependiente"/>
              <w:rPr>
                <w:b/>
                <w:bCs/>
                <w:lang w:val="es-ES_tradnl"/>
              </w:rPr>
            </w:pPr>
            <w:r w:rsidRPr="00DA0CA7">
              <w:rPr>
                <w:b/>
                <w:bCs/>
                <w:lang w:val="es-ES_tradnl"/>
              </w:rPr>
              <w:lastRenderedPageBreak/>
              <w:t>Dolor torácico</w:t>
            </w:r>
          </w:p>
          <w:p w:rsidR="000773A3" w:rsidRPr="00DA0CA7" w:rsidRDefault="000773A3" w:rsidP="00AE1EA0">
            <w:pPr>
              <w:pStyle w:val="Textoindependiente"/>
              <w:ind w:right="279"/>
              <w:rPr>
                <w:b/>
                <w:bCs/>
                <w:lang w:val="es-MX"/>
              </w:rPr>
            </w:pPr>
          </w:p>
        </w:tc>
        <w:tc>
          <w:tcPr>
            <w:tcW w:w="1950" w:type="dxa"/>
          </w:tcPr>
          <w:p w:rsidR="000773A3" w:rsidRPr="00DA0CA7" w:rsidRDefault="000773A3" w:rsidP="00AE1EA0">
            <w:pPr>
              <w:pStyle w:val="Textoindependiente"/>
              <w:jc w:val="center"/>
              <w:rPr>
                <w:lang w:val="es-ES_tradnl"/>
              </w:rPr>
            </w:pPr>
            <w:r w:rsidRPr="00DA0CA7">
              <w:rPr>
                <w:lang w:val="es-ES_tradnl"/>
              </w:rPr>
              <w:t>Cualitativa nominal dicotómica</w:t>
            </w:r>
          </w:p>
        </w:tc>
        <w:tc>
          <w:tcPr>
            <w:tcW w:w="3093" w:type="dxa"/>
          </w:tcPr>
          <w:p w:rsidR="000773A3" w:rsidRPr="00DA0CA7" w:rsidRDefault="000543B0" w:rsidP="00AE1EA0">
            <w:pPr>
              <w:pStyle w:val="Textoindependiente"/>
              <w:rPr>
                <w:lang w:val="es-ES_tradnl"/>
              </w:rPr>
            </w:pPr>
            <w:r>
              <w:rPr>
                <w:lang w:val="es-ES_tradnl"/>
              </w:rPr>
              <w:t>Según clasificaci</w:t>
            </w:r>
            <w:r w:rsidR="00BC42A8">
              <w:rPr>
                <w:lang w:val="es-ES_tradnl"/>
              </w:rPr>
              <w:t>ó</w:t>
            </w:r>
            <w:r w:rsidR="000773A3" w:rsidRPr="00DA0CA7">
              <w:rPr>
                <w:lang w:val="es-ES_tradnl"/>
              </w:rPr>
              <w:t xml:space="preserve">n clínica del dolor torácico de </w:t>
            </w:r>
            <w:proofErr w:type="spellStart"/>
            <w:r w:rsidR="000773A3" w:rsidRPr="00DA0CA7">
              <w:rPr>
                <w:lang w:val="es-ES_tradnl"/>
              </w:rPr>
              <w:t>Diamond</w:t>
            </w:r>
            <w:proofErr w:type="spellEnd"/>
            <w:r w:rsidR="000773A3" w:rsidRPr="00DA0CA7">
              <w:rPr>
                <w:lang w:val="es-ES_tradnl"/>
              </w:rPr>
              <w:t xml:space="preserve"> 1983 y equivalentes anginosos(síntomas distintos de la angina) </w:t>
            </w:r>
          </w:p>
        </w:tc>
        <w:tc>
          <w:tcPr>
            <w:tcW w:w="2409" w:type="dxa"/>
          </w:tcPr>
          <w:p w:rsidR="000773A3" w:rsidRPr="00DA0CA7" w:rsidRDefault="000773A3" w:rsidP="00AE1EA0">
            <w:pPr>
              <w:pStyle w:val="Textoindependiente"/>
              <w:rPr>
                <w:lang w:val="es-ES_tradnl"/>
              </w:rPr>
            </w:pPr>
            <w:r w:rsidRPr="00DA0CA7">
              <w:rPr>
                <w:lang w:val="es-ES_tradnl"/>
              </w:rPr>
              <w:t xml:space="preserve">Típico </w:t>
            </w:r>
          </w:p>
          <w:p w:rsidR="000773A3" w:rsidRPr="00DA0CA7" w:rsidRDefault="000773A3" w:rsidP="00AE1EA0">
            <w:pPr>
              <w:pStyle w:val="Textoindependiente"/>
              <w:rPr>
                <w:lang w:val="es-ES_tradnl"/>
              </w:rPr>
            </w:pPr>
            <w:r w:rsidRPr="00DA0CA7">
              <w:rPr>
                <w:lang w:val="es-ES_tradnl"/>
              </w:rPr>
              <w:t xml:space="preserve"> Atípico</w:t>
            </w:r>
          </w:p>
        </w:tc>
      </w:tr>
    </w:tbl>
    <w:p w:rsidR="000773A3" w:rsidRDefault="000773A3" w:rsidP="00F67184">
      <w:pPr>
        <w:spacing w:line="480" w:lineRule="auto"/>
      </w:pPr>
    </w:p>
    <w:p w:rsidR="000773A3" w:rsidRPr="00740BE6" w:rsidRDefault="000773A3" w:rsidP="00F67184">
      <w:pPr>
        <w:spacing w:line="480" w:lineRule="auto"/>
      </w:pPr>
    </w:p>
    <w:p w:rsidR="00831CFC" w:rsidRPr="000773A3" w:rsidRDefault="00222926" w:rsidP="000773A3">
      <w:pPr>
        <w:pStyle w:val="Prrafodelista"/>
        <w:numPr>
          <w:ilvl w:val="0"/>
          <w:numId w:val="45"/>
        </w:numPr>
        <w:spacing w:line="480" w:lineRule="auto"/>
        <w:rPr>
          <w:u w:val="single"/>
        </w:rPr>
      </w:pPr>
      <w:r>
        <w:rPr>
          <w:u w:val="single"/>
        </w:rPr>
        <w:lastRenderedPageBreak/>
        <w:t>Variables para identificar las pruebas diagnósticas de isquemia realizadas:</w:t>
      </w:r>
      <w:r w:rsidR="00F67184" w:rsidRPr="000773A3">
        <w:rPr>
          <w:u w:val="single"/>
        </w:rPr>
        <w:t xml:space="preserve"> </w:t>
      </w:r>
      <w:r>
        <w:rPr>
          <w:u w:val="single"/>
        </w:rPr>
        <w:t xml:space="preserve"> </w:t>
      </w:r>
    </w:p>
    <w:tbl>
      <w:tblPr>
        <w:tblStyle w:val="Tablaconcuadrcula"/>
        <w:tblW w:w="9067" w:type="dxa"/>
        <w:tblLook w:val="04A0" w:firstRow="1" w:lastRow="0" w:firstColumn="1" w:lastColumn="0" w:noHBand="0" w:noVBand="1"/>
      </w:tblPr>
      <w:tblGrid>
        <w:gridCol w:w="1847"/>
        <w:gridCol w:w="1950"/>
        <w:gridCol w:w="3074"/>
        <w:gridCol w:w="2196"/>
      </w:tblGrid>
      <w:tr w:rsidR="000773A3" w:rsidRPr="00DA0CA7" w:rsidTr="007B323A">
        <w:trPr>
          <w:trHeight w:val="416"/>
        </w:trPr>
        <w:tc>
          <w:tcPr>
            <w:tcW w:w="1847" w:type="dxa"/>
            <w:shd w:val="clear" w:color="auto" w:fill="FF9999"/>
          </w:tcPr>
          <w:p w:rsidR="000773A3" w:rsidRPr="00DA0CA7" w:rsidRDefault="000773A3" w:rsidP="00AE1EA0">
            <w:pPr>
              <w:pStyle w:val="Textoindependiente"/>
              <w:spacing w:line="240" w:lineRule="auto"/>
              <w:ind w:right="279"/>
              <w:jc w:val="center"/>
              <w:rPr>
                <w:b/>
                <w:bCs/>
                <w:lang w:val="es-MX"/>
              </w:rPr>
            </w:pPr>
            <w:r w:rsidRPr="00DA0CA7">
              <w:rPr>
                <w:b/>
                <w:bCs/>
                <w:lang w:val="es-MX"/>
              </w:rPr>
              <w:t>Variable</w:t>
            </w:r>
          </w:p>
        </w:tc>
        <w:tc>
          <w:tcPr>
            <w:tcW w:w="1950" w:type="dxa"/>
            <w:shd w:val="clear" w:color="auto" w:fill="FF9999"/>
          </w:tcPr>
          <w:p w:rsidR="000773A3" w:rsidRPr="00DA0CA7" w:rsidRDefault="000773A3" w:rsidP="00AE1EA0">
            <w:pPr>
              <w:pStyle w:val="Textoindependiente"/>
              <w:spacing w:line="240" w:lineRule="auto"/>
              <w:ind w:right="279"/>
              <w:jc w:val="center"/>
              <w:rPr>
                <w:b/>
                <w:bCs/>
                <w:lang w:val="es-MX"/>
              </w:rPr>
            </w:pPr>
            <w:r w:rsidRPr="00DA0CA7">
              <w:rPr>
                <w:b/>
                <w:bCs/>
                <w:lang w:val="es-MX"/>
              </w:rPr>
              <w:t>Clasificación</w:t>
            </w:r>
          </w:p>
        </w:tc>
        <w:tc>
          <w:tcPr>
            <w:tcW w:w="3074" w:type="dxa"/>
            <w:shd w:val="clear" w:color="auto" w:fill="FF9999"/>
          </w:tcPr>
          <w:p w:rsidR="000773A3" w:rsidRPr="00DA0CA7" w:rsidRDefault="000773A3" w:rsidP="00AE1EA0">
            <w:pPr>
              <w:pStyle w:val="Textoindependiente"/>
              <w:spacing w:line="240" w:lineRule="auto"/>
              <w:ind w:right="279"/>
              <w:jc w:val="center"/>
              <w:rPr>
                <w:b/>
                <w:bCs/>
                <w:lang w:val="es-MX"/>
              </w:rPr>
            </w:pPr>
            <w:r w:rsidRPr="00DA0CA7">
              <w:rPr>
                <w:b/>
                <w:bCs/>
                <w:lang w:val="es-MX"/>
              </w:rPr>
              <w:t>Definición</w:t>
            </w:r>
          </w:p>
        </w:tc>
        <w:tc>
          <w:tcPr>
            <w:tcW w:w="2196" w:type="dxa"/>
            <w:shd w:val="clear" w:color="auto" w:fill="FF9999"/>
          </w:tcPr>
          <w:p w:rsidR="000773A3" w:rsidRPr="00DA0CA7" w:rsidRDefault="000773A3" w:rsidP="00AE1EA0">
            <w:pPr>
              <w:pStyle w:val="Textoindependiente"/>
              <w:spacing w:line="240" w:lineRule="auto"/>
              <w:ind w:right="279"/>
              <w:jc w:val="center"/>
              <w:rPr>
                <w:b/>
                <w:bCs/>
                <w:lang w:val="es-MX"/>
              </w:rPr>
            </w:pPr>
            <w:r w:rsidRPr="00DA0CA7">
              <w:rPr>
                <w:b/>
                <w:bCs/>
                <w:lang w:val="es-MX"/>
              </w:rPr>
              <w:t>Escala de clasificación</w:t>
            </w:r>
          </w:p>
        </w:tc>
      </w:tr>
      <w:tr w:rsidR="000773A3" w:rsidRPr="00DA0CA7" w:rsidTr="007B323A">
        <w:tc>
          <w:tcPr>
            <w:tcW w:w="1847" w:type="dxa"/>
          </w:tcPr>
          <w:p w:rsidR="000773A3" w:rsidRPr="00DA0CA7" w:rsidRDefault="000773A3" w:rsidP="00AE1EA0">
            <w:pPr>
              <w:pStyle w:val="Textoindependiente"/>
              <w:ind w:right="279"/>
              <w:rPr>
                <w:b/>
                <w:bCs/>
                <w:lang w:val="es-MX"/>
              </w:rPr>
            </w:pPr>
            <w:r w:rsidRPr="00DA0CA7">
              <w:rPr>
                <w:b/>
                <w:bCs/>
                <w:lang w:val="es-MX"/>
              </w:rPr>
              <w:t xml:space="preserve">Prueba </w:t>
            </w:r>
            <w:proofErr w:type="spellStart"/>
            <w:r w:rsidRPr="00DA0CA7">
              <w:rPr>
                <w:b/>
                <w:bCs/>
                <w:lang w:val="es-MX"/>
              </w:rPr>
              <w:t>ergométrica</w:t>
            </w:r>
            <w:proofErr w:type="spellEnd"/>
            <w:r w:rsidRPr="00DA0CA7">
              <w:rPr>
                <w:b/>
                <w:bCs/>
                <w:lang w:val="es-MX"/>
              </w:rPr>
              <w:t xml:space="preserve"> </w:t>
            </w:r>
          </w:p>
        </w:tc>
        <w:tc>
          <w:tcPr>
            <w:tcW w:w="1950" w:type="dxa"/>
          </w:tcPr>
          <w:p w:rsidR="000773A3" w:rsidRPr="00DA0CA7" w:rsidRDefault="000773A3" w:rsidP="00AE1EA0">
            <w:pPr>
              <w:pStyle w:val="Textoindependiente"/>
              <w:rPr>
                <w:lang w:val="es-MX"/>
              </w:rPr>
            </w:pPr>
            <w:r w:rsidRPr="00DA0CA7">
              <w:rPr>
                <w:lang w:val="es-ES_tradnl"/>
              </w:rPr>
              <w:t xml:space="preserve">Cualitativa nominal </w:t>
            </w:r>
            <w:proofErr w:type="spellStart"/>
            <w:r w:rsidRPr="00DA0CA7">
              <w:rPr>
                <w:lang w:val="es-ES_tradnl"/>
              </w:rPr>
              <w:t>politómica</w:t>
            </w:r>
            <w:proofErr w:type="spellEnd"/>
          </w:p>
        </w:tc>
        <w:tc>
          <w:tcPr>
            <w:tcW w:w="3074" w:type="dxa"/>
          </w:tcPr>
          <w:p w:rsidR="000773A3" w:rsidRPr="00DA0CA7" w:rsidRDefault="000773A3" w:rsidP="00AE1EA0">
            <w:pPr>
              <w:spacing w:line="360" w:lineRule="auto"/>
              <w:rPr>
                <w:lang w:val="es-ES_tradnl"/>
              </w:rPr>
            </w:pPr>
            <w:r w:rsidRPr="00DA0CA7">
              <w:rPr>
                <w:lang w:val="es-ES_tradnl"/>
              </w:rPr>
              <w:t xml:space="preserve">Positiva: según criterios aceptados por la </w:t>
            </w:r>
            <w:proofErr w:type="spellStart"/>
            <w:r w:rsidRPr="00DA0CA7">
              <w:rPr>
                <w:lang w:val="es-ES_tradnl"/>
              </w:rPr>
              <w:t>Task</w:t>
            </w:r>
            <w:proofErr w:type="spellEnd"/>
            <w:r w:rsidRPr="00DA0CA7">
              <w:rPr>
                <w:lang w:val="es-ES_tradnl"/>
              </w:rPr>
              <w:t xml:space="preserve"> </w:t>
            </w:r>
            <w:proofErr w:type="spellStart"/>
            <w:r w:rsidRPr="00DA0CA7">
              <w:rPr>
                <w:lang w:val="es-ES_tradnl"/>
              </w:rPr>
              <w:t>Force</w:t>
            </w:r>
            <w:proofErr w:type="spellEnd"/>
            <w:r>
              <w:rPr>
                <w:vertAlign w:val="superscript"/>
                <w:lang w:val="es-ES_tradnl"/>
              </w:rPr>
              <w:t xml:space="preserve"> 24</w:t>
            </w:r>
          </w:p>
          <w:p w:rsidR="000773A3" w:rsidRPr="00DA0CA7" w:rsidRDefault="000773A3" w:rsidP="00AE1EA0">
            <w:pPr>
              <w:pStyle w:val="Ttulo3"/>
              <w:tabs>
                <w:tab w:val="left" w:pos="0"/>
              </w:tabs>
              <w:jc w:val="both"/>
              <w:rPr>
                <w:rFonts w:cs="Arial"/>
                <w:bCs/>
                <w:lang w:val="es-ES_tradnl"/>
              </w:rPr>
            </w:pPr>
            <w:r>
              <w:rPr>
                <w:rFonts w:cs="Arial"/>
                <w:bCs/>
                <w:lang w:val="es-ES_tradnl"/>
              </w:rPr>
              <w:t>(Anexo 3)</w:t>
            </w:r>
          </w:p>
        </w:tc>
        <w:tc>
          <w:tcPr>
            <w:tcW w:w="2196" w:type="dxa"/>
          </w:tcPr>
          <w:p w:rsidR="000773A3" w:rsidRPr="00DA0CA7" w:rsidRDefault="000773A3" w:rsidP="00AE1EA0">
            <w:pPr>
              <w:pStyle w:val="Textoindependiente"/>
              <w:ind w:right="279"/>
              <w:rPr>
                <w:bCs/>
                <w:lang w:val="es-MX"/>
              </w:rPr>
            </w:pPr>
            <w:r w:rsidRPr="00DA0CA7">
              <w:rPr>
                <w:bCs/>
                <w:lang w:val="es-MX"/>
              </w:rPr>
              <w:t>Positiva</w:t>
            </w:r>
          </w:p>
          <w:p w:rsidR="000773A3" w:rsidRPr="00DA0CA7" w:rsidRDefault="00BC42A8" w:rsidP="00AE1EA0">
            <w:pPr>
              <w:pStyle w:val="Textoindependiente"/>
              <w:ind w:right="279"/>
              <w:rPr>
                <w:bCs/>
                <w:lang w:val="es-MX"/>
              </w:rPr>
            </w:pPr>
            <w:r>
              <w:rPr>
                <w:bCs/>
                <w:lang w:val="es-MX"/>
              </w:rPr>
              <w:t>Negativa o Dudosa (no concluyente).</w:t>
            </w:r>
          </w:p>
        </w:tc>
      </w:tr>
      <w:tr w:rsidR="00222926" w:rsidRPr="00DA0CA7" w:rsidTr="007B323A">
        <w:tc>
          <w:tcPr>
            <w:tcW w:w="1847" w:type="dxa"/>
          </w:tcPr>
          <w:p w:rsidR="00222926" w:rsidRPr="00DA0CA7" w:rsidRDefault="00222926" w:rsidP="00222926">
            <w:pPr>
              <w:pStyle w:val="Textoindependiente"/>
              <w:ind w:right="279"/>
              <w:jc w:val="center"/>
              <w:rPr>
                <w:b/>
                <w:bCs/>
                <w:lang w:val="es-MX"/>
              </w:rPr>
            </w:pPr>
            <w:r>
              <w:rPr>
                <w:lang w:val="es-ES_tradnl"/>
              </w:rPr>
              <w:t>Perfusión miocárdica</w:t>
            </w:r>
            <w:r>
              <w:rPr>
                <w:b/>
                <w:bCs/>
                <w:lang w:val="es-MX"/>
              </w:rPr>
              <w:t xml:space="preserve"> </w:t>
            </w:r>
          </w:p>
        </w:tc>
        <w:tc>
          <w:tcPr>
            <w:tcW w:w="1950" w:type="dxa"/>
          </w:tcPr>
          <w:p w:rsidR="00222926" w:rsidRPr="00DA0CA7" w:rsidRDefault="00222926" w:rsidP="00222926">
            <w:pPr>
              <w:spacing w:line="360" w:lineRule="auto"/>
              <w:jc w:val="center"/>
              <w:rPr>
                <w:b/>
                <w:lang w:val="es-MX"/>
              </w:rPr>
            </w:pPr>
            <w:r w:rsidRPr="00DA0CA7">
              <w:rPr>
                <w:lang w:val="es-ES_tradnl"/>
              </w:rPr>
              <w:t>Cualitativa nominal dicotómica</w:t>
            </w:r>
            <w:r>
              <w:rPr>
                <w:b/>
                <w:bCs/>
                <w:lang w:val="es-MX"/>
              </w:rPr>
              <w:t xml:space="preserve"> </w:t>
            </w:r>
          </w:p>
        </w:tc>
        <w:tc>
          <w:tcPr>
            <w:tcW w:w="3074" w:type="dxa"/>
          </w:tcPr>
          <w:p w:rsidR="00222926" w:rsidRDefault="00222926" w:rsidP="00222926">
            <w:pPr>
              <w:spacing w:line="360" w:lineRule="auto"/>
              <w:rPr>
                <w:bCs/>
              </w:rPr>
            </w:pPr>
            <w:r>
              <w:rPr>
                <w:lang w:val="es-ES_tradnl"/>
              </w:rPr>
              <w:t xml:space="preserve"> Examen de medicina nuclear para el diagnóstico de la CI, donde se inyecta un RF endovenoso. Este debe ser captado por el tejido cardiaco en situaciones de estrés como de reposo mediante una </w:t>
            </w:r>
            <w:proofErr w:type="spellStart"/>
            <w:r>
              <w:rPr>
                <w:lang w:val="es-ES_tradnl"/>
              </w:rPr>
              <w:t>gammacámara</w:t>
            </w:r>
            <w:proofErr w:type="spellEnd"/>
            <w:r>
              <w:rPr>
                <w:lang w:val="es-ES_tradnl"/>
              </w:rPr>
              <w:t>.</w:t>
            </w:r>
          </w:p>
          <w:p w:rsidR="00222926" w:rsidRPr="00DA0CA7" w:rsidRDefault="00222926" w:rsidP="00222926">
            <w:pPr>
              <w:spacing w:line="360" w:lineRule="auto"/>
              <w:rPr>
                <w:lang w:val="es-ES_tradnl"/>
              </w:rPr>
            </w:pPr>
            <w:r>
              <w:rPr>
                <w:bCs/>
              </w:rPr>
              <w:t xml:space="preserve">  </w:t>
            </w:r>
          </w:p>
        </w:tc>
        <w:tc>
          <w:tcPr>
            <w:tcW w:w="2196" w:type="dxa"/>
          </w:tcPr>
          <w:p w:rsidR="00222926" w:rsidRPr="00DA0CA7" w:rsidRDefault="00222926" w:rsidP="00222926">
            <w:pPr>
              <w:spacing w:line="360" w:lineRule="auto"/>
              <w:rPr>
                <w:lang w:val="es-ES_tradnl"/>
              </w:rPr>
            </w:pPr>
            <w:r w:rsidRPr="00DA0CA7">
              <w:rPr>
                <w:lang w:val="es-ES_tradnl"/>
              </w:rPr>
              <w:t>P</w:t>
            </w:r>
            <w:r>
              <w:rPr>
                <w:lang w:val="es-ES_tradnl"/>
              </w:rPr>
              <w:t>ositiva (cuando hay un déficit de la captación del RF en estrés que se recupera en el reposo</w:t>
            </w:r>
            <w:r w:rsidRPr="00DA0CA7">
              <w:rPr>
                <w:lang w:val="es-ES_tradnl"/>
              </w:rPr>
              <w:t>).</w:t>
            </w:r>
          </w:p>
          <w:p w:rsidR="00222926" w:rsidRPr="007B323A" w:rsidRDefault="00222926" w:rsidP="007B323A">
            <w:pPr>
              <w:spacing w:line="360" w:lineRule="auto"/>
              <w:rPr>
                <w:lang w:val="es-ES_tradnl"/>
              </w:rPr>
            </w:pPr>
            <w:r>
              <w:rPr>
                <w:lang w:val="es-ES_tradnl"/>
              </w:rPr>
              <w:t>Negativa (captación uniforme del RF tanto en esfuerzo físico como en reposo)</w:t>
            </w:r>
            <w:r w:rsidR="0066679B">
              <w:rPr>
                <w:b/>
                <w:bCs/>
                <w:lang w:val="es-MX"/>
              </w:rPr>
              <w:t>.</w:t>
            </w:r>
          </w:p>
        </w:tc>
      </w:tr>
      <w:tr w:rsidR="00222926" w:rsidRPr="00DA0CA7" w:rsidTr="007B323A">
        <w:trPr>
          <w:trHeight w:val="1266"/>
        </w:trPr>
        <w:tc>
          <w:tcPr>
            <w:tcW w:w="1847" w:type="dxa"/>
          </w:tcPr>
          <w:p w:rsidR="00222926" w:rsidRPr="00DA0CA7" w:rsidRDefault="00222926" w:rsidP="00222926">
            <w:pPr>
              <w:pStyle w:val="Textoindependiente"/>
              <w:ind w:right="279"/>
              <w:rPr>
                <w:bCs/>
              </w:rPr>
            </w:pPr>
            <w:r w:rsidRPr="00DA0CA7">
              <w:rPr>
                <w:bCs/>
              </w:rPr>
              <w:t>Protocolos</w:t>
            </w:r>
            <w:r>
              <w:rPr>
                <w:bCs/>
              </w:rPr>
              <w:t xml:space="preserve"> para </w:t>
            </w:r>
            <w:r w:rsidR="007B323A">
              <w:rPr>
                <w:bCs/>
              </w:rPr>
              <w:t xml:space="preserve">la </w:t>
            </w:r>
            <w:r>
              <w:rPr>
                <w:bCs/>
              </w:rPr>
              <w:t>detección de isquemia cardiaca</w:t>
            </w:r>
          </w:p>
        </w:tc>
        <w:tc>
          <w:tcPr>
            <w:tcW w:w="1950" w:type="dxa"/>
          </w:tcPr>
          <w:p w:rsidR="00222926" w:rsidRPr="00DA0CA7" w:rsidRDefault="00222926" w:rsidP="00222926">
            <w:pPr>
              <w:pStyle w:val="Textoindependiente"/>
              <w:ind w:right="279"/>
              <w:rPr>
                <w:bCs/>
              </w:rPr>
            </w:pPr>
            <w:r w:rsidRPr="00DA0CA7">
              <w:rPr>
                <w:lang w:val="es-ES_tradnl"/>
              </w:rPr>
              <w:t xml:space="preserve">Cualitativa nominal </w:t>
            </w:r>
            <w:proofErr w:type="spellStart"/>
            <w:r w:rsidRPr="00DA0CA7">
              <w:rPr>
                <w:lang w:val="es-ES_tradnl"/>
              </w:rPr>
              <w:t>politómica</w:t>
            </w:r>
            <w:proofErr w:type="spellEnd"/>
          </w:p>
        </w:tc>
        <w:tc>
          <w:tcPr>
            <w:tcW w:w="3074" w:type="dxa"/>
          </w:tcPr>
          <w:p w:rsidR="00222926" w:rsidRPr="00DA0CA7" w:rsidRDefault="00222926" w:rsidP="00222926">
            <w:pPr>
              <w:pStyle w:val="Textoindependiente"/>
              <w:ind w:right="279"/>
              <w:rPr>
                <w:bCs/>
              </w:rPr>
            </w:pPr>
            <w:r>
              <w:rPr>
                <w:bCs/>
              </w:rPr>
              <w:t xml:space="preserve"> </w:t>
            </w:r>
            <w:r w:rsidRPr="00DA0CA7">
              <w:rPr>
                <w:bCs/>
              </w:rPr>
              <w:t xml:space="preserve">Protocolo empleado para estresar el corazón con ejercicio físico o fármacos, que eleven la frecuencia cardiaca por encima del 85% de la FC máxima y que después de inyectado el RF haya </w:t>
            </w:r>
            <w:r w:rsidRPr="00DA0CA7">
              <w:rPr>
                <w:bCs/>
              </w:rPr>
              <w:lastRenderedPageBreak/>
              <w:t>o no déficit de captación del RF en el corazón.</w:t>
            </w:r>
          </w:p>
        </w:tc>
        <w:tc>
          <w:tcPr>
            <w:tcW w:w="2196" w:type="dxa"/>
          </w:tcPr>
          <w:p w:rsidR="00222926" w:rsidRDefault="00222926" w:rsidP="00222926">
            <w:pPr>
              <w:pStyle w:val="Textoindependiente"/>
              <w:ind w:right="279"/>
              <w:rPr>
                <w:bCs/>
              </w:rPr>
            </w:pPr>
            <w:r>
              <w:rPr>
                <w:bCs/>
              </w:rPr>
              <w:lastRenderedPageBreak/>
              <w:t>Estrés Físico</w:t>
            </w:r>
            <w:r w:rsidR="0066679B">
              <w:rPr>
                <w:bCs/>
              </w:rPr>
              <w:t>.</w:t>
            </w:r>
          </w:p>
          <w:p w:rsidR="00222926" w:rsidRPr="00DA0CA7" w:rsidRDefault="00222926" w:rsidP="00222926">
            <w:pPr>
              <w:pStyle w:val="Textoindependiente"/>
              <w:ind w:right="279"/>
              <w:rPr>
                <w:bCs/>
              </w:rPr>
            </w:pPr>
            <w:r>
              <w:rPr>
                <w:bCs/>
              </w:rPr>
              <w:t>Estrés Farmacológico</w:t>
            </w:r>
            <w:r w:rsidR="0066679B">
              <w:rPr>
                <w:bCs/>
              </w:rPr>
              <w:t>.</w:t>
            </w:r>
          </w:p>
          <w:p w:rsidR="00222926" w:rsidRPr="00DA0CA7" w:rsidRDefault="00222926" w:rsidP="00222926">
            <w:pPr>
              <w:pStyle w:val="Textoindependiente"/>
              <w:ind w:right="279"/>
              <w:rPr>
                <w:bCs/>
              </w:rPr>
            </w:pPr>
          </w:p>
        </w:tc>
      </w:tr>
      <w:tr w:rsidR="007B323A" w:rsidRPr="00DA0CA7" w:rsidTr="007B323A">
        <w:trPr>
          <w:trHeight w:val="1279"/>
        </w:trPr>
        <w:tc>
          <w:tcPr>
            <w:tcW w:w="1847" w:type="dxa"/>
          </w:tcPr>
          <w:p w:rsidR="007B323A" w:rsidRPr="00DA0CA7" w:rsidRDefault="00454511" w:rsidP="00EA308D">
            <w:pPr>
              <w:spacing w:line="360" w:lineRule="auto"/>
              <w:rPr>
                <w:lang w:val="es-ES_tradnl"/>
              </w:rPr>
            </w:pPr>
            <w:r>
              <w:rPr>
                <w:lang w:val="es-ES_tradnl"/>
              </w:rPr>
              <w:lastRenderedPageBreak/>
              <w:t xml:space="preserve">Caída de la FEVI(%) </w:t>
            </w:r>
            <w:r w:rsidR="007B323A">
              <w:rPr>
                <w:lang w:val="es-ES_tradnl"/>
              </w:rPr>
              <w:t>estrés/reposo</w:t>
            </w:r>
          </w:p>
        </w:tc>
        <w:tc>
          <w:tcPr>
            <w:tcW w:w="1950" w:type="dxa"/>
          </w:tcPr>
          <w:p w:rsidR="007B323A" w:rsidRPr="00DA0CA7" w:rsidRDefault="007B323A" w:rsidP="00EA308D">
            <w:pPr>
              <w:spacing w:line="360" w:lineRule="auto"/>
              <w:rPr>
                <w:lang w:val="es-ES_tradnl"/>
              </w:rPr>
            </w:pPr>
            <w:r>
              <w:rPr>
                <w:lang w:val="es-ES_tradnl"/>
              </w:rPr>
              <w:t xml:space="preserve">Cualitativa nominal </w:t>
            </w:r>
            <w:proofErr w:type="spellStart"/>
            <w:r>
              <w:rPr>
                <w:lang w:val="es-ES_tradnl"/>
              </w:rPr>
              <w:t>poli</w:t>
            </w:r>
            <w:r w:rsidRPr="00DA0CA7">
              <w:rPr>
                <w:lang w:val="es-ES_tradnl"/>
              </w:rPr>
              <w:t>tómica</w:t>
            </w:r>
            <w:proofErr w:type="spellEnd"/>
          </w:p>
        </w:tc>
        <w:tc>
          <w:tcPr>
            <w:tcW w:w="3074" w:type="dxa"/>
          </w:tcPr>
          <w:p w:rsidR="007B323A" w:rsidRPr="00DA0CA7" w:rsidRDefault="00454511" w:rsidP="00454511">
            <w:pPr>
              <w:spacing w:line="360" w:lineRule="auto"/>
              <w:rPr>
                <w:lang w:val="es-ES_tradnl"/>
              </w:rPr>
            </w:pPr>
            <w:r w:rsidRPr="00022047">
              <w:t>Disminución de la FEVI durante el estrés</w:t>
            </w:r>
            <w:r>
              <w:t>,</w:t>
            </w:r>
            <w:r w:rsidRPr="00022047">
              <w:t xml:space="preserve"> que expresa la severidad de la isquemia cardiaca al aumento de la demanda </w:t>
            </w:r>
            <w:r>
              <w:t>de oxígeno</w:t>
            </w:r>
            <w:r w:rsidRPr="00022047">
              <w:t>.</w:t>
            </w:r>
          </w:p>
        </w:tc>
        <w:tc>
          <w:tcPr>
            <w:tcW w:w="2196" w:type="dxa"/>
          </w:tcPr>
          <w:p w:rsidR="007B323A" w:rsidRPr="00565885" w:rsidRDefault="007B323A" w:rsidP="00EA308D">
            <w:pPr>
              <w:spacing w:line="360" w:lineRule="auto"/>
              <w:rPr>
                <w:lang w:val="es-ES_tradnl"/>
              </w:rPr>
            </w:pPr>
            <w:r w:rsidRPr="00565885">
              <w:rPr>
                <w:lang w:val="es-ES_tradnl"/>
              </w:rPr>
              <w:t>M</w:t>
            </w:r>
            <w:r w:rsidR="00454511" w:rsidRPr="00565885">
              <w:rPr>
                <w:lang w:val="es-ES_tradnl"/>
              </w:rPr>
              <w:t>ayor del 10%</w:t>
            </w:r>
            <w:r w:rsidR="0066679B">
              <w:rPr>
                <w:lang w:val="es-ES_tradnl"/>
              </w:rPr>
              <w:t>.</w:t>
            </w:r>
          </w:p>
          <w:p w:rsidR="00454511" w:rsidRPr="00565885" w:rsidRDefault="00780E24" w:rsidP="00EA308D">
            <w:pPr>
              <w:spacing w:line="360" w:lineRule="auto"/>
              <w:rPr>
                <w:lang w:val="es-ES_tradnl"/>
              </w:rPr>
            </w:pPr>
            <w:r>
              <w:rPr>
                <w:lang w:val="es-ES_tradnl"/>
              </w:rPr>
              <w:t>Menor del 10%</w:t>
            </w:r>
            <w:r w:rsidR="0066679B">
              <w:rPr>
                <w:lang w:val="es-ES_tradnl"/>
              </w:rPr>
              <w:t>.</w:t>
            </w:r>
          </w:p>
          <w:p w:rsidR="00454511" w:rsidRPr="00565885" w:rsidRDefault="00780E24" w:rsidP="00EA308D">
            <w:pPr>
              <w:spacing w:line="360" w:lineRule="auto"/>
              <w:rPr>
                <w:lang w:val="es-ES_tradnl"/>
              </w:rPr>
            </w:pPr>
            <w:r>
              <w:rPr>
                <w:lang w:val="es-ES_tradnl"/>
              </w:rPr>
              <w:t>Sin cambios</w:t>
            </w:r>
            <w:r w:rsidR="0066679B">
              <w:rPr>
                <w:lang w:val="es-ES_tradnl"/>
              </w:rPr>
              <w:t>.</w:t>
            </w:r>
          </w:p>
        </w:tc>
      </w:tr>
    </w:tbl>
    <w:p w:rsidR="000773A3" w:rsidRDefault="000773A3" w:rsidP="00F67184">
      <w:pPr>
        <w:spacing w:line="480" w:lineRule="auto"/>
      </w:pPr>
    </w:p>
    <w:p w:rsidR="00F67184" w:rsidRDefault="0020720B" w:rsidP="000773A3">
      <w:pPr>
        <w:pStyle w:val="Prrafodelista"/>
        <w:numPr>
          <w:ilvl w:val="0"/>
          <w:numId w:val="45"/>
        </w:numPr>
        <w:spacing w:line="480" w:lineRule="auto"/>
        <w:rPr>
          <w:u w:val="single"/>
        </w:rPr>
      </w:pPr>
      <w:r>
        <w:rPr>
          <w:u w:val="single"/>
        </w:rPr>
        <w:t>Variable para identificar</w:t>
      </w:r>
      <w:r w:rsidR="00CA4093">
        <w:rPr>
          <w:u w:val="single"/>
        </w:rPr>
        <w:t xml:space="preserve"> el resultado de la </w:t>
      </w:r>
      <w:proofErr w:type="spellStart"/>
      <w:r w:rsidR="00CA4093">
        <w:rPr>
          <w:u w:val="single"/>
        </w:rPr>
        <w:t>coronariografía</w:t>
      </w:r>
      <w:proofErr w:type="spellEnd"/>
      <w:r w:rsidR="00F67184" w:rsidRPr="000773A3">
        <w:rPr>
          <w:u w:val="single"/>
        </w:rPr>
        <w:t>:</w:t>
      </w:r>
    </w:p>
    <w:tbl>
      <w:tblPr>
        <w:tblpPr w:leftFromText="141" w:rightFromText="141" w:vertAnchor="text" w:horzAnchor="margin" w:tblpY="465"/>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5"/>
        <w:gridCol w:w="1985"/>
        <w:gridCol w:w="2976"/>
        <w:gridCol w:w="2268"/>
      </w:tblGrid>
      <w:tr w:rsidR="00CA4093" w:rsidRPr="00DA0CA7" w:rsidTr="00CA4093">
        <w:trPr>
          <w:trHeight w:val="398"/>
        </w:trPr>
        <w:tc>
          <w:tcPr>
            <w:tcW w:w="1835" w:type="dxa"/>
            <w:tcBorders>
              <w:top w:val="single" w:sz="6" w:space="0" w:color="000000"/>
              <w:left w:val="single" w:sz="6" w:space="0" w:color="000000"/>
              <w:bottom w:val="single" w:sz="6" w:space="0" w:color="000000"/>
              <w:right w:val="single" w:sz="6" w:space="0" w:color="000000"/>
            </w:tcBorders>
            <w:shd w:val="clear" w:color="auto" w:fill="FF9999"/>
          </w:tcPr>
          <w:p w:rsidR="00CA4093" w:rsidRPr="00DA0CA7" w:rsidRDefault="00CA4093" w:rsidP="00CA4093">
            <w:pPr>
              <w:jc w:val="center"/>
              <w:rPr>
                <w:b/>
                <w:lang w:val="es-ES_tradnl"/>
              </w:rPr>
            </w:pPr>
            <w:r w:rsidRPr="00DA0CA7">
              <w:rPr>
                <w:b/>
                <w:lang w:val="es-ES_tradnl"/>
              </w:rPr>
              <w:t>Variable</w:t>
            </w:r>
          </w:p>
        </w:tc>
        <w:tc>
          <w:tcPr>
            <w:tcW w:w="1985" w:type="dxa"/>
            <w:tcBorders>
              <w:top w:val="single" w:sz="6" w:space="0" w:color="000000"/>
              <w:left w:val="single" w:sz="6" w:space="0" w:color="000000"/>
              <w:bottom w:val="single" w:sz="6" w:space="0" w:color="000000"/>
              <w:right w:val="single" w:sz="6" w:space="0" w:color="000000"/>
            </w:tcBorders>
            <w:shd w:val="clear" w:color="auto" w:fill="FF9999"/>
          </w:tcPr>
          <w:p w:rsidR="00CA4093" w:rsidRPr="00DA0CA7" w:rsidRDefault="00CA4093" w:rsidP="00CA4093">
            <w:pPr>
              <w:spacing w:line="360" w:lineRule="auto"/>
              <w:jc w:val="center"/>
              <w:rPr>
                <w:b/>
                <w:lang w:val="es-ES_tradnl"/>
              </w:rPr>
            </w:pPr>
            <w:r w:rsidRPr="00DA0CA7">
              <w:rPr>
                <w:b/>
                <w:lang w:val="es-ES_tradnl"/>
              </w:rPr>
              <w:t>Clasificación</w:t>
            </w:r>
          </w:p>
        </w:tc>
        <w:tc>
          <w:tcPr>
            <w:tcW w:w="2976" w:type="dxa"/>
            <w:tcBorders>
              <w:top w:val="single" w:sz="6" w:space="0" w:color="000000"/>
              <w:left w:val="single" w:sz="6" w:space="0" w:color="000000"/>
              <w:bottom w:val="single" w:sz="6" w:space="0" w:color="000000"/>
              <w:right w:val="single" w:sz="6" w:space="0" w:color="000000"/>
            </w:tcBorders>
            <w:shd w:val="clear" w:color="auto" w:fill="FF9999"/>
          </w:tcPr>
          <w:p w:rsidR="00CA4093" w:rsidRPr="00DA0CA7" w:rsidRDefault="00CA4093" w:rsidP="00CA4093">
            <w:pPr>
              <w:jc w:val="center"/>
              <w:rPr>
                <w:b/>
                <w:lang w:val="es-ES_tradnl"/>
              </w:rPr>
            </w:pPr>
            <w:r w:rsidRPr="00DA0CA7">
              <w:rPr>
                <w:b/>
                <w:lang w:val="es-ES_tradnl"/>
              </w:rPr>
              <w:t>Definición</w:t>
            </w:r>
          </w:p>
        </w:tc>
        <w:tc>
          <w:tcPr>
            <w:tcW w:w="2268" w:type="dxa"/>
            <w:tcBorders>
              <w:top w:val="single" w:sz="6" w:space="0" w:color="000000"/>
              <w:left w:val="single" w:sz="6" w:space="0" w:color="000000"/>
              <w:bottom w:val="single" w:sz="6" w:space="0" w:color="000000"/>
              <w:right w:val="single" w:sz="6" w:space="0" w:color="000000"/>
            </w:tcBorders>
            <w:shd w:val="clear" w:color="auto" w:fill="FF9999"/>
          </w:tcPr>
          <w:p w:rsidR="00CA4093" w:rsidRPr="00DA0CA7" w:rsidRDefault="00CA4093" w:rsidP="00CA4093">
            <w:pPr>
              <w:jc w:val="center"/>
              <w:rPr>
                <w:b/>
                <w:lang w:val="es-ES_tradnl"/>
              </w:rPr>
            </w:pPr>
            <w:r w:rsidRPr="00DA0CA7">
              <w:rPr>
                <w:b/>
                <w:lang w:val="es-ES_tradnl"/>
              </w:rPr>
              <w:t>Escala de clasificación</w:t>
            </w:r>
          </w:p>
        </w:tc>
      </w:tr>
      <w:tr w:rsidR="00CA4093" w:rsidRPr="00DA0CA7" w:rsidTr="00CA4093">
        <w:trPr>
          <w:trHeight w:val="1206"/>
        </w:trPr>
        <w:tc>
          <w:tcPr>
            <w:tcW w:w="1835" w:type="dxa"/>
            <w:shd w:val="clear" w:color="auto" w:fill="auto"/>
          </w:tcPr>
          <w:p w:rsidR="00CA4093" w:rsidRPr="00DA0CA7" w:rsidRDefault="00CA4093" w:rsidP="00CA4093">
            <w:pPr>
              <w:spacing w:line="360" w:lineRule="auto"/>
              <w:rPr>
                <w:lang w:val="es-ES_tradnl"/>
              </w:rPr>
            </w:pPr>
            <w:proofErr w:type="spellStart"/>
            <w:r w:rsidRPr="00DA0CA7">
              <w:rPr>
                <w:lang w:val="es-ES_tradnl"/>
              </w:rPr>
              <w:t>Coronariografía</w:t>
            </w:r>
            <w:proofErr w:type="spellEnd"/>
          </w:p>
        </w:tc>
        <w:tc>
          <w:tcPr>
            <w:tcW w:w="1985" w:type="dxa"/>
            <w:shd w:val="clear" w:color="auto" w:fill="auto"/>
          </w:tcPr>
          <w:p w:rsidR="00CA4093" w:rsidRPr="00DA0CA7" w:rsidRDefault="00CA4093" w:rsidP="00CA4093">
            <w:pPr>
              <w:spacing w:line="360" w:lineRule="auto"/>
              <w:rPr>
                <w:lang w:val="es-ES_tradnl"/>
              </w:rPr>
            </w:pPr>
            <w:r w:rsidRPr="00DA0CA7">
              <w:rPr>
                <w:lang w:val="es-ES_tradnl"/>
              </w:rPr>
              <w:t>Cualitativa nominal dicotómica</w:t>
            </w:r>
          </w:p>
        </w:tc>
        <w:tc>
          <w:tcPr>
            <w:tcW w:w="2976" w:type="dxa"/>
            <w:shd w:val="clear" w:color="auto" w:fill="auto"/>
          </w:tcPr>
          <w:p w:rsidR="00CA4093" w:rsidRPr="00DA0CA7" w:rsidRDefault="00CA4093" w:rsidP="00CA4093">
            <w:pPr>
              <w:spacing w:line="360" w:lineRule="auto"/>
              <w:rPr>
                <w:lang w:val="es-ES_tradnl"/>
              </w:rPr>
            </w:pPr>
            <w:r w:rsidRPr="00DA0CA7">
              <w:rPr>
                <w:lang w:val="es-ES_tradnl"/>
              </w:rPr>
              <w:t xml:space="preserve"> Examen radiológico de la anatomía coronaria mediante la inyección </w:t>
            </w:r>
            <w:proofErr w:type="spellStart"/>
            <w:r w:rsidRPr="00DA0CA7">
              <w:rPr>
                <w:lang w:val="es-ES_tradnl"/>
              </w:rPr>
              <w:t>intr</w:t>
            </w:r>
            <w:r>
              <w:rPr>
                <w:lang w:val="es-ES_tradnl"/>
              </w:rPr>
              <w:t>acoronaria</w:t>
            </w:r>
            <w:proofErr w:type="spellEnd"/>
            <w:r>
              <w:rPr>
                <w:lang w:val="es-ES_tradnl"/>
              </w:rPr>
              <w:t xml:space="preserve"> de </w:t>
            </w:r>
            <w:r w:rsidRPr="00DA0CA7">
              <w:rPr>
                <w:lang w:val="es-ES_tradnl"/>
              </w:rPr>
              <w:t>contraste yodado.</w:t>
            </w:r>
          </w:p>
        </w:tc>
        <w:tc>
          <w:tcPr>
            <w:tcW w:w="2268" w:type="dxa"/>
            <w:shd w:val="clear" w:color="auto" w:fill="auto"/>
          </w:tcPr>
          <w:p w:rsidR="00CA4093" w:rsidRPr="00DA0CA7" w:rsidRDefault="00CA4093" w:rsidP="00CA4093">
            <w:pPr>
              <w:spacing w:line="360" w:lineRule="auto"/>
              <w:rPr>
                <w:lang w:val="es-ES_tradnl"/>
              </w:rPr>
            </w:pPr>
            <w:r w:rsidRPr="00565885">
              <w:rPr>
                <w:lang w:val="es-ES_tradnl"/>
              </w:rPr>
              <w:t>Positiva</w:t>
            </w:r>
            <w:r w:rsidRPr="00565885">
              <w:rPr>
                <w:b/>
                <w:lang w:val="es-ES_tradnl"/>
              </w:rPr>
              <w:t xml:space="preserve"> </w:t>
            </w:r>
            <w:r w:rsidRPr="00DA0CA7">
              <w:rPr>
                <w:lang w:val="es-ES_tradnl"/>
              </w:rPr>
              <w:t>(obstrucción mayor al 50% de la luz coronaria).</w:t>
            </w:r>
          </w:p>
          <w:p w:rsidR="00CA4093" w:rsidRPr="00DA0CA7" w:rsidRDefault="00CA4093" w:rsidP="00CA4093">
            <w:pPr>
              <w:spacing w:line="360" w:lineRule="auto"/>
              <w:rPr>
                <w:lang w:val="es-ES_tradnl"/>
              </w:rPr>
            </w:pPr>
            <w:r w:rsidRPr="00565885">
              <w:rPr>
                <w:lang w:val="es-ES_tradnl"/>
              </w:rPr>
              <w:t>Negativa</w:t>
            </w:r>
            <w:r w:rsidR="0066679B">
              <w:rPr>
                <w:lang w:val="es-ES_tradnl"/>
              </w:rPr>
              <w:t>.</w:t>
            </w:r>
          </w:p>
        </w:tc>
      </w:tr>
    </w:tbl>
    <w:p w:rsidR="00CA4093" w:rsidRPr="00740BE6" w:rsidRDefault="00CA4093" w:rsidP="00B50180">
      <w:pPr>
        <w:spacing w:line="480" w:lineRule="auto"/>
      </w:pPr>
      <w:r>
        <w:t xml:space="preserve">   </w:t>
      </w:r>
    </w:p>
    <w:p w:rsidR="00565885" w:rsidRDefault="00CA4093" w:rsidP="00DE7AFB">
      <w:pPr>
        <w:spacing w:line="480" w:lineRule="auto"/>
      </w:pPr>
      <w:r>
        <w:t xml:space="preserve"> </w:t>
      </w:r>
    </w:p>
    <w:p w:rsidR="00DE7AFB" w:rsidRPr="00565885" w:rsidRDefault="00DE7AFB" w:rsidP="00565885">
      <w:pPr>
        <w:pStyle w:val="Prrafodelista"/>
        <w:numPr>
          <w:ilvl w:val="0"/>
          <w:numId w:val="45"/>
        </w:numPr>
        <w:spacing w:line="480" w:lineRule="auto"/>
        <w:rPr>
          <w:u w:val="single"/>
        </w:rPr>
      </w:pPr>
      <w:r w:rsidRPr="00565885">
        <w:rPr>
          <w:u w:val="single"/>
        </w:rPr>
        <w:t>Variable que expresa la evolución clínica al año de los pacientes después de realizada la perfusión miocárdica:</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985"/>
        <w:gridCol w:w="2693"/>
        <w:gridCol w:w="2551"/>
      </w:tblGrid>
      <w:tr w:rsidR="00DE7AFB" w:rsidRPr="00DA0CA7" w:rsidTr="00ED7D99">
        <w:trPr>
          <w:trHeight w:val="149"/>
        </w:trPr>
        <w:tc>
          <w:tcPr>
            <w:tcW w:w="1843" w:type="dxa"/>
            <w:tcBorders>
              <w:top w:val="single" w:sz="6" w:space="0" w:color="000000"/>
              <w:left w:val="single" w:sz="6" w:space="0" w:color="000000"/>
              <w:bottom w:val="single" w:sz="6" w:space="0" w:color="000000"/>
              <w:right w:val="single" w:sz="6" w:space="0" w:color="000000"/>
            </w:tcBorders>
            <w:shd w:val="clear" w:color="auto" w:fill="FF9999"/>
          </w:tcPr>
          <w:p w:rsidR="00DE7AFB" w:rsidRPr="00DA0CA7" w:rsidRDefault="00DE7AFB" w:rsidP="00EA308D">
            <w:pPr>
              <w:jc w:val="center"/>
              <w:rPr>
                <w:b/>
                <w:lang w:val="es-ES_tradnl"/>
              </w:rPr>
            </w:pPr>
            <w:r w:rsidRPr="00DA0CA7">
              <w:rPr>
                <w:b/>
                <w:lang w:val="es-ES_tradnl"/>
              </w:rPr>
              <w:t>Variable</w:t>
            </w:r>
          </w:p>
        </w:tc>
        <w:tc>
          <w:tcPr>
            <w:tcW w:w="1985" w:type="dxa"/>
            <w:tcBorders>
              <w:top w:val="single" w:sz="6" w:space="0" w:color="000000"/>
              <w:left w:val="single" w:sz="6" w:space="0" w:color="000000"/>
              <w:bottom w:val="single" w:sz="6" w:space="0" w:color="000000"/>
              <w:right w:val="single" w:sz="6" w:space="0" w:color="000000"/>
            </w:tcBorders>
            <w:shd w:val="clear" w:color="auto" w:fill="FF9999"/>
          </w:tcPr>
          <w:p w:rsidR="00DE7AFB" w:rsidRPr="00DA0CA7" w:rsidRDefault="00DE7AFB" w:rsidP="00EA308D">
            <w:pPr>
              <w:spacing w:line="360" w:lineRule="auto"/>
              <w:jc w:val="center"/>
              <w:rPr>
                <w:b/>
                <w:lang w:val="es-ES_tradnl"/>
              </w:rPr>
            </w:pPr>
            <w:r w:rsidRPr="00DA0CA7">
              <w:rPr>
                <w:b/>
                <w:lang w:val="es-ES_tradnl"/>
              </w:rPr>
              <w:t>Clasificación</w:t>
            </w:r>
          </w:p>
        </w:tc>
        <w:tc>
          <w:tcPr>
            <w:tcW w:w="2693" w:type="dxa"/>
            <w:tcBorders>
              <w:top w:val="single" w:sz="6" w:space="0" w:color="000000"/>
              <w:left w:val="single" w:sz="6" w:space="0" w:color="000000"/>
              <w:bottom w:val="single" w:sz="6" w:space="0" w:color="000000"/>
              <w:right w:val="single" w:sz="6" w:space="0" w:color="000000"/>
            </w:tcBorders>
            <w:shd w:val="clear" w:color="auto" w:fill="FF9999"/>
          </w:tcPr>
          <w:p w:rsidR="00DE7AFB" w:rsidRPr="00DA0CA7" w:rsidRDefault="00DE7AFB" w:rsidP="00EA308D">
            <w:pPr>
              <w:jc w:val="center"/>
              <w:rPr>
                <w:b/>
                <w:lang w:val="es-ES_tradnl"/>
              </w:rPr>
            </w:pPr>
            <w:r w:rsidRPr="00DA0CA7">
              <w:rPr>
                <w:b/>
                <w:lang w:val="es-ES_tradnl"/>
              </w:rPr>
              <w:t>Definición</w:t>
            </w:r>
          </w:p>
        </w:tc>
        <w:tc>
          <w:tcPr>
            <w:tcW w:w="2551" w:type="dxa"/>
            <w:tcBorders>
              <w:top w:val="single" w:sz="6" w:space="0" w:color="000000"/>
              <w:left w:val="single" w:sz="6" w:space="0" w:color="000000"/>
              <w:bottom w:val="single" w:sz="6" w:space="0" w:color="000000"/>
              <w:right w:val="single" w:sz="6" w:space="0" w:color="000000"/>
            </w:tcBorders>
            <w:shd w:val="clear" w:color="auto" w:fill="FF9999"/>
          </w:tcPr>
          <w:p w:rsidR="00DE7AFB" w:rsidRPr="00DA0CA7" w:rsidRDefault="00DE7AFB" w:rsidP="00EA308D">
            <w:pPr>
              <w:jc w:val="center"/>
              <w:rPr>
                <w:b/>
                <w:lang w:val="es-ES_tradnl"/>
              </w:rPr>
            </w:pPr>
            <w:r w:rsidRPr="00DA0CA7">
              <w:rPr>
                <w:b/>
                <w:lang w:val="es-ES_tradnl"/>
              </w:rPr>
              <w:t>Escala de clasificación</w:t>
            </w:r>
          </w:p>
        </w:tc>
      </w:tr>
      <w:tr w:rsidR="00DE7AFB" w:rsidRPr="00DA0CA7" w:rsidTr="00ED7D99">
        <w:trPr>
          <w:trHeight w:val="453"/>
        </w:trPr>
        <w:tc>
          <w:tcPr>
            <w:tcW w:w="1843" w:type="dxa"/>
            <w:shd w:val="clear" w:color="auto" w:fill="auto"/>
          </w:tcPr>
          <w:p w:rsidR="00DE7AFB" w:rsidRPr="00DA0CA7" w:rsidRDefault="00DE7AFB" w:rsidP="00EA308D">
            <w:pPr>
              <w:spacing w:line="360" w:lineRule="auto"/>
              <w:rPr>
                <w:lang w:val="es-ES_tradnl"/>
              </w:rPr>
            </w:pPr>
            <w:r>
              <w:rPr>
                <w:lang w:val="es-ES_tradnl"/>
              </w:rPr>
              <w:t>Evolución clínica al año</w:t>
            </w:r>
          </w:p>
        </w:tc>
        <w:tc>
          <w:tcPr>
            <w:tcW w:w="1985" w:type="dxa"/>
            <w:shd w:val="clear" w:color="auto" w:fill="auto"/>
          </w:tcPr>
          <w:p w:rsidR="00DE7AFB" w:rsidRDefault="00DE7AFB" w:rsidP="00EA308D">
            <w:pPr>
              <w:spacing w:line="360" w:lineRule="auto"/>
              <w:rPr>
                <w:lang w:val="es-ES_tradnl"/>
              </w:rPr>
            </w:pPr>
            <w:r>
              <w:rPr>
                <w:lang w:val="es-ES_tradnl"/>
              </w:rPr>
              <w:t xml:space="preserve">Cualitativa nominal </w:t>
            </w:r>
          </w:p>
          <w:p w:rsidR="00DE7AFB" w:rsidRPr="00DA0CA7" w:rsidRDefault="00DE7AFB" w:rsidP="00EA308D">
            <w:pPr>
              <w:spacing w:line="360" w:lineRule="auto"/>
              <w:rPr>
                <w:lang w:val="es-ES_tradnl"/>
              </w:rPr>
            </w:pPr>
            <w:proofErr w:type="spellStart"/>
            <w:r>
              <w:rPr>
                <w:lang w:val="es-ES_tradnl"/>
              </w:rPr>
              <w:t>poli</w:t>
            </w:r>
            <w:r w:rsidRPr="00DA0CA7">
              <w:rPr>
                <w:lang w:val="es-ES_tradnl"/>
              </w:rPr>
              <w:t>tómica</w:t>
            </w:r>
            <w:proofErr w:type="spellEnd"/>
          </w:p>
        </w:tc>
        <w:tc>
          <w:tcPr>
            <w:tcW w:w="2693" w:type="dxa"/>
            <w:shd w:val="clear" w:color="auto" w:fill="auto"/>
          </w:tcPr>
          <w:p w:rsidR="00DE7AFB" w:rsidRPr="00DA0CA7" w:rsidRDefault="00DE7AFB" w:rsidP="00EA308D">
            <w:pPr>
              <w:spacing w:line="360" w:lineRule="auto"/>
              <w:rPr>
                <w:lang w:val="es-ES_tradnl"/>
              </w:rPr>
            </w:pPr>
            <w:r>
              <w:rPr>
                <w:lang w:val="es-ES_tradnl"/>
              </w:rPr>
              <w:t xml:space="preserve">Es la evolución clínica presentada por cada paciente en el transcurso de un año donde se tuvo en cuenta la aparición o no de eventos isquémicos. </w:t>
            </w:r>
          </w:p>
        </w:tc>
        <w:tc>
          <w:tcPr>
            <w:tcW w:w="2551" w:type="dxa"/>
            <w:shd w:val="clear" w:color="auto" w:fill="auto"/>
          </w:tcPr>
          <w:p w:rsidR="00ED7D99" w:rsidRPr="00565885" w:rsidRDefault="00ED7D99" w:rsidP="00ED7D99">
            <w:pPr>
              <w:spacing w:line="360" w:lineRule="auto"/>
              <w:rPr>
                <w:lang w:val="es-ES_tradnl"/>
              </w:rPr>
            </w:pPr>
            <w:r w:rsidRPr="00565885">
              <w:rPr>
                <w:lang w:val="es-ES_tradnl"/>
              </w:rPr>
              <w:t xml:space="preserve">No eventos isquémicos: </w:t>
            </w:r>
          </w:p>
          <w:p w:rsidR="00ED7D99" w:rsidRDefault="00ED7D99" w:rsidP="00ED7D99">
            <w:pPr>
              <w:spacing w:line="360" w:lineRule="auto"/>
              <w:rPr>
                <w:lang w:val="es-ES_tradnl"/>
              </w:rPr>
            </w:pPr>
            <w:r>
              <w:rPr>
                <w:lang w:val="es-ES_tradnl"/>
              </w:rPr>
              <w:t xml:space="preserve">(no dolor precordial ni equivalentes anginosos, </w:t>
            </w:r>
            <w:r w:rsidRPr="00ED7D99">
              <w:rPr>
                <w:lang w:val="es-ES_tradnl"/>
              </w:rPr>
              <w:t>no alteraciones</w:t>
            </w:r>
            <w:r>
              <w:rPr>
                <w:lang w:val="es-ES_tradnl"/>
              </w:rPr>
              <w:t xml:space="preserve"> isquémicas </w:t>
            </w:r>
            <w:r w:rsidRPr="00ED7D99">
              <w:rPr>
                <w:lang w:val="es-ES_tradnl"/>
              </w:rPr>
              <w:t xml:space="preserve">en el ECG </w:t>
            </w:r>
            <w:r w:rsidRPr="00ED7D99">
              <w:rPr>
                <w:lang w:val="es-ES_tradnl"/>
              </w:rPr>
              <w:lastRenderedPageBreak/>
              <w:t xml:space="preserve">ni </w:t>
            </w:r>
            <w:r>
              <w:rPr>
                <w:lang w:val="es-ES_tradnl"/>
              </w:rPr>
              <w:t xml:space="preserve">en </w:t>
            </w:r>
            <w:r w:rsidRPr="00ED7D99">
              <w:rPr>
                <w:lang w:val="es-ES_tradnl"/>
              </w:rPr>
              <w:t>otros medios diagnósticos)</w:t>
            </w:r>
            <w:r w:rsidR="00BE2289">
              <w:rPr>
                <w:lang w:val="es-ES_tradnl"/>
              </w:rPr>
              <w:t>.</w:t>
            </w:r>
          </w:p>
          <w:p w:rsidR="00ED7D99" w:rsidRPr="00ED7D99" w:rsidRDefault="00565885" w:rsidP="00ED7D99">
            <w:pPr>
              <w:spacing w:line="360" w:lineRule="auto"/>
              <w:rPr>
                <w:lang w:val="es-ES_tradnl"/>
              </w:rPr>
            </w:pPr>
            <w:r w:rsidRPr="00565885">
              <w:rPr>
                <w:lang w:val="es-ES_tradnl"/>
              </w:rPr>
              <w:t xml:space="preserve">Revascularización </w:t>
            </w:r>
            <w:r>
              <w:rPr>
                <w:lang w:val="es-ES_tradnl"/>
              </w:rPr>
              <w:t xml:space="preserve">(necesidad de recanalizar un vaso coronario </w:t>
            </w:r>
            <w:r w:rsidR="0020720B">
              <w:rPr>
                <w:lang w:val="es-ES_tradnl"/>
              </w:rPr>
              <w:t>oclu</w:t>
            </w:r>
            <w:r w:rsidR="003A63CC">
              <w:rPr>
                <w:lang w:val="es-ES_tradnl"/>
              </w:rPr>
              <w:t>i</w:t>
            </w:r>
            <w:r w:rsidR="0020720B">
              <w:rPr>
                <w:lang w:val="es-ES_tradnl"/>
              </w:rPr>
              <w:t>do</w:t>
            </w:r>
            <w:r>
              <w:rPr>
                <w:lang w:val="es-ES_tradnl"/>
              </w:rPr>
              <w:t xml:space="preserve"> mediante ICP o CBAC)</w:t>
            </w:r>
            <w:r w:rsidR="00BE2289">
              <w:rPr>
                <w:lang w:val="es-ES_tradnl"/>
              </w:rPr>
              <w:t>.</w:t>
            </w:r>
          </w:p>
          <w:p w:rsidR="00DE7AFB" w:rsidRDefault="00DE7AFB" w:rsidP="00EA308D">
            <w:pPr>
              <w:spacing w:line="360" w:lineRule="auto"/>
              <w:rPr>
                <w:lang w:val="es-ES_tradnl"/>
              </w:rPr>
            </w:pPr>
            <w:r w:rsidRPr="00565885">
              <w:rPr>
                <w:lang w:val="es-ES_tradnl"/>
              </w:rPr>
              <w:t>SCA</w:t>
            </w:r>
            <w:r w:rsidR="006610CC">
              <w:rPr>
                <w:lang w:val="es-ES_tradnl"/>
              </w:rPr>
              <w:t xml:space="preserve"> </w:t>
            </w:r>
            <w:r w:rsidR="00D370F1" w:rsidRPr="00D370F1">
              <w:rPr>
                <w:sz w:val="22"/>
                <w:szCs w:val="22"/>
                <w:lang w:val="es-ES_tradnl"/>
              </w:rPr>
              <w:t>(SCASEST</w:t>
            </w:r>
            <w:r w:rsidR="007C5EA8">
              <w:rPr>
                <w:sz w:val="22"/>
                <w:szCs w:val="22"/>
                <w:lang w:val="es-ES_tradnl"/>
              </w:rPr>
              <w:t>-</w:t>
            </w:r>
            <w:r w:rsidR="00D370F1" w:rsidRPr="00D370F1">
              <w:rPr>
                <w:sz w:val="22"/>
                <w:szCs w:val="22"/>
                <w:lang w:val="es-ES_tradnl"/>
              </w:rPr>
              <w:t>SCACEST</w:t>
            </w:r>
            <w:r w:rsidRPr="00D370F1">
              <w:rPr>
                <w:sz w:val="22"/>
                <w:szCs w:val="22"/>
                <w:lang w:val="es-ES_tradnl"/>
              </w:rPr>
              <w:t>)</w:t>
            </w:r>
            <w:r w:rsidR="00BE2289">
              <w:rPr>
                <w:sz w:val="22"/>
                <w:szCs w:val="22"/>
                <w:lang w:val="es-ES_tradnl"/>
              </w:rPr>
              <w:t>.</w:t>
            </w:r>
          </w:p>
          <w:p w:rsidR="00DE7AFB" w:rsidRDefault="00DE7AFB" w:rsidP="00EA308D">
            <w:pPr>
              <w:spacing w:line="360" w:lineRule="auto"/>
              <w:rPr>
                <w:lang w:val="es-ES_tradnl"/>
              </w:rPr>
            </w:pPr>
            <w:r w:rsidRPr="00565885">
              <w:rPr>
                <w:lang w:val="es-ES_tradnl"/>
              </w:rPr>
              <w:t xml:space="preserve">SCC </w:t>
            </w:r>
            <w:r w:rsidR="00BE2289">
              <w:rPr>
                <w:lang w:val="es-ES_tradnl"/>
              </w:rPr>
              <w:t>(angina estable,</w:t>
            </w:r>
            <w:r>
              <w:rPr>
                <w:lang w:val="es-ES_tradnl"/>
              </w:rPr>
              <w:t xml:space="preserve"> </w:t>
            </w:r>
            <w:proofErr w:type="spellStart"/>
            <w:r>
              <w:rPr>
                <w:lang w:val="es-ES_tradnl"/>
              </w:rPr>
              <w:t>mic</w:t>
            </w:r>
            <w:r w:rsidR="006610CC">
              <w:rPr>
                <w:lang w:val="es-ES_tradnl"/>
              </w:rPr>
              <w:t>rovascular</w:t>
            </w:r>
            <w:proofErr w:type="spellEnd"/>
            <w:r w:rsidR="00BE2289">
              <w:rPr>
                <w:lang w:val="es-ES_tradnl"/>
              </w:rPr>
              <w:t xml:space="preserve"> y</w:t>
            </w:r>
            <w:r>
              <w:rPr>
                <w:lang w:val="es-ES_tradnl"/>
              </w:rPr>
              <w:t xml:space="preserve"> </w:t>
            </w:r>
            <w:proofErr w:type="spellStart"/>
            <w:r>
              <w:rPr>
                <w:lang w:val="es-ES_tradnl"/>
              </w:rPr>
              <w:t>vasoespástica</w:t>
            </w:r>
            <w:proofErr w:type="spellEnd"/>
            <w:r>
              <w:rPr>
                <w:lang w:val="es-ES_tradnl"/>
              </w:rPr>
              <w:t>)</w:t>
            </w:r>
            <w:r w:rsidR="00BE2289">
              <w:rPr>
                <w:lang w:val="es-ES_tradnl"/>
              </w:rPr>
              <w:t>.</w:t>
            </w:r>
          </w:p>
          <w:p w:rsidR="00DE7AFB" w:rsidRPr="00565885" w:rsidRDefault="00DE7AFB" w:rsidP="00EA308D">
            <w:pPr>
              <w:spacing w:line="360" w:lineRule="auto"/>
              <w:rPr>
                <w:lang w:val="es-ES_tradnl"/>
              </w:rPr>
            </w:pPr>
            <w:r w:rsidRPr="00565885">
              <w:rPr>
                <w:lang w:val="es-ES_tradnl"/>
              </w:rPr>
              <w:t>Muerte cardiaca.</w:t>
            </w:r>
          </w:p>
          <w:p w:rsidR="00DE7AFB" w:rsidRDefault="00DE7AFB" w:rsidP="00EA308D">
            <w:pPr>
              <w:spacing w:line="360" w:lineRule="auto"/>
              <w:rPr>
                <w:lang w:val="es-ES_tradnl"/>
              </w:rPr>
            </w:pPr>
          </w:p>
          <w:p w:rsidR="00DE7AFB" w:rsidRPr="00DA0CA7" w:rsidRDefault="00DE7AFB" w:rsidP="00EA308D">
            <w:pPr>
              <w:spacing w:line="360" w:lineRule="auto"/>
              <w:rPr>
                <w:lang w:val="es-ES_tradnl"/>
              </w:rPr>
            </w:pPr>
          </w:p>
        </w:tc>
      </w:tr>
    </w:tbl>
    <w:p w:rsidR="00831CFC" w:rsidRPr="00740BE6" w:rsidRDefault="00831CFC" w:rsidP="00B50180">
      <w:pPr>
        <w:spacing w:line="480" w:lineRule="auto"/>
      </w:pPr>
    </w:p>
    <w:p w:rsidR="00831CFC" w:rsidRPr="00740BE6" w:rsidRDefault="00F4613C" w:rsidP="00FB2DD5">
      <w:pPr>
        <w:pStyle w:val="Ttulo2"/>
        <w:spacing w:line="480" w:lineRule="auto"/>
        <w:rPr>
          <w:bCs/>
        </w:rPr>
      </w:pPr>
      <w:bookmarkStart w:id="45" w:name="_Toc518382547"/>
      <w:r w:rsidRPr="00740BE6">
        <w:rPr>
          <w:bCs/>
        </w:rPr>
        <w:t>3.5-</w:t>
      </w:r>
      <w:r w:rsidR="00831CFC" w:rsidRPr="00740BE6">
        <w:rPr>
          <w:bCs/>
        </w:rPr>
        <w:t xml:space="preserve"> </w:t>
      </w:r>
      <w:r w:rsidR="00C96305">
        <w:rPr>
          <w:bCs/>
        </w:rPr>
        <w:t>Métodos de r</w:t>
      </w:r>
      <w:r w:rsidR="00831CFC" w:rsidRPr="00740BE6">
        <w:rPr>
          <w:bCs/>
        </w:rPr>
        <w:t xml:space="preserve">ecolección </w:t>
      </w:r>
      <w:r w:rsidR="00C96305">
        <w:rPr>
          <w:bCs/>
        </w:rPr>
        <w:t>y procesamiento de la información</w:t>
      </w:r>
      <w:bookmarkEnd w:id="45"/>
    </w:p>
    <w:p w:rsidR="00B129B9" w:rsidRPr="00DA0CA7" w:rsidRDefault="000773A3" w:rsidP="00B129B9">
      <w:pPr>
        <w:spacing w:line="480" w:lineRule="auto"/>
      </w:pPr>
      <w:r>
        <w:t xml:space="preserve"> </w:t>
      </w:r>
      <w:r w:rsidR="00B129B9" w:rsidRPr="00DA0CA7">
        <w:t xml:space="preserve">A los pacientes seleccionados se les realizó un interrogatorio. Se anotó la información en una planilla de recolección de datos (Anexo 1). Todos los pacientes cumplieron los criterios de uso apropiado de imágenes cardiacas con </w:t>
      </w:r>
      <w:proofErr w:type="spellStart"/>
      <w:r w:rsidR="00B129B9" w:rsidRPr="00DA0CA7">
        <w:t>radionúcleos</w:t>
      </w:r>
      <w:proofErr w:type="spellEnd"/>
      <w:r w:rsidR="00B129B9" w:rsidRPr="00DA0CA7">
        <w:t xml:space="preserve"> establecidas por la Sociedad Americana de Cardiología Nuclear</w:t>
      </w:r>
      <w:r w:rsidR="00B129B9" w:rsidRPr="00DA0CA7">
        <w:rPr>
          <w:vertAlign w:val="superscript"/>
          <w:lang w:val="es-ES_tradnl"/>
        </w:rPr>
        <w:t>19</w:t>
      </w:r>
      <w:r w:rsidR="00B129B9">
        <w:rPr>
          <w:vertAlign w:val="superscript"/>
          <w:lang w:val="es-ES_tradnl"/>
        </w:rPr>
        <w:t xml:space="preserve">, 27-29 </w:t>
      </w:r>
      <w:r w:rsidR="00B129B9" w:rsidRPr="00DA0CA7">
        <w:t>y el Consenso de imágenes no invasivas en el adulto de la Sociedad Argentina de Cardiología.</w:t>
      </w:r>
      <w:r w:rsidR="00B129B9">
        <w:rPr>
          <w:vertAlign w:val="superscript"/>
          <w:lang w:val="es-ES_tradnl"/>
        </w:rPr>
        <w:t xml:space="preserve"> 30</w:t>
      </w:r>
    </w:p>
    <w:p w:rsidR="00B129B9" w:rsidRPr="0020720B" w:rsidRDefault="00B129B9" w:rsidP="00B129B9">
      <w:pPr>
        <w:spacing w:line="480" w:lineRule="auto"/>
        <w:rPr>
          <w:b/>
        </w:rPr>
      </w:pPr>
      <w:r w:rsidRPr="00DA0CA7">
        <w:rPr>
          <w:b/>
        </w:rPr>
        <w:t>Gammagrafía de perfusión miocárdica:</w:t>
      </w:r>
      <w:r w:rsidR="0020720B">
        <w:rPr>
          <w:b/>
        </w:rPr>
        <w:t xml:space="preserve"> </w:t>
      </w:r>
      <w:r w:rsidRPr="00DA0CA7">
        <w:rPr>
          <w:lang w:val="es-ES_tradnl"/>
        </w:rPr>
        <w:t>Para realizar la gammagrafía de perfusión m</w:t>
      </w:r>
      <w:r w:rsidR="0020720B">
        <w:rPr>
          <w:lang w:val="es-ES_tradnl"/>
        </w:rPr>
        <w:t xml:space="preserve">iocárdica se tuvo en cuenta el protocolo de </w:t>
      </w:r>
      <w:r w:rsidRPr="00DA0CA7">
        <w:rPr>
          <w:lang w:val="es-ES_tradnl"/>
        </w:rPr>
        <w:t>dete</w:t>
      </w:r>
      <w:r w:rsidR="0020720B">
        <w:rPr>
          <w:lang w:val="es-ES_tradnl"/>
        </w:rPr>
        <w:t>cción de isquemia</w:t>
      </w:r>
      <w:r w:rsidRPr="00DA0CA7">
        <w:t xml:space="preserve">. </w:t>
      </w:r>
    </w:p>
    <w:p w:rsidR="00B129B9" w:rsidRPr="00DA0CA7" w:rsidRDefault="00B129B9" w:rsidP="00B129B9">
      <w:pPr>
        <w:spacing w:line="480" w:lineRule="auto"/>
        <w:rPr>
          <w:u w:val="single"/>
          <w:lang w:val="es-MX"/>
        </w:rPr>
      </w:pPr>
      <w:r w:rsidRPr="00DA0CA7">
        <w:rPr>
          <w:b/>
          <w:lang w:val="es-MX"/>
        </w:rPr>
        <w:lastRenderedPageBreak/>
        <w:t>Para el diagnóstico de isquemia:</w:t>
      </w:r>
      <w:r w:rsidRPr="00DA0CA7">
        <w:rPr>
          <w:lang w:val="es-MX"/>
        </w:rPr>
        <w:t xml:space="preserve"> se aplicó el protocolo de dos días (estrés y reposo) cumpliendo los procedimientos internacionalmente establecidos por la Sociedad Americana de Cardiología Nuclear</w:t>
      </w:r>
      <w:r w:rsidRPr="00DA0CA7">
        <w:rPr>
          <w:vertAlign w:val="superscript"/>
          <w:lang w:val="es-ES_tradnl"/>
        </w:rPr>
        <w:t>27</w:t>
      </w:r>
      <w:r>
        <w:rPr>
          <w:vertAlign w:val="superscript"/>
          <w:lang w:val="es-ES_tradnl"/>
        </w:rPr>
        <w:t>-29</w:t>
      </w:r>
      <w:r w:rsidRPr="00DA0CA7">
        <w:rPr>
          <w:lang w:val="es-MX"/>
        </w:rPr>
        <w:t>, bajo supervisión médica.</w:t>
      </w:r>
      <w:r w:rsidRPr="00DA0CA7">
        <w:rPr>
          <w:vertAlign w:val="superscript"/>
          <w:lang w:val="es-ES_tradnl"/>
        </w:rPr>
        <w:t xml:space="preserve"> </w:t>
      </w:r>
    </w:p>
    <w:p w:rsidR="00B129B9" w:rsidRPr="00DA0CA7" w:rsidRDefault="00B129B9" w:rsidP="00B129B9">
      <w:pPr>
        <w:spacing w:line="480" w:lineRule="auto"/>
      </w:pPr>
      <w:r w:rsidRPr="00DA0CA7">
        <w:t xml:space="preserve">Se tuvo en cuenta los siguientes requisitos para realizar el estudio: </w:t>
      </w:r>
    </w:p>
    <w:p w:rsidR="00B129B9" w:rsidRPr="00DA0CA7" w:rsidRDefault="00B129B9" w:rsidP="00B129B9">
      <w:pPr>
        <w:numPr>
          <w:ilvl w:val="0"/>
          <w:numId w:val="48"/>
        </w:numPr>
        <w:tabs>
          <w:tab w:val="clear" w:pos="8640"/>
        </w:tabs>
        <w:spacing w:after="160" w:line="480" w:lineRule="auto"/>
      </w:pPr>
      <w:r w:rsidRPr="00DA0CA7">
        <w:t>Desayunar como mínimo 2 horas antes.</w:t>
      </w:r>
    </w:p>
    <w:p w:rsidR="00B129B9" w:rsidRPr="00DA0CA7" w:rsidRDefault="00B129B9" w:rsidP="00B129B9">
      <w:pPr>
        <w:numPr>
          <w:ilvl w:val="0"/>
          <w:numId w:val="48"/>
        </w:numPr>
        <w:tabs>
          <w:tab w:val="clear" w:pos="8640"/>
        </w:tabs>
        <w:spacing w:after="160" w:line="480" w:lineRule="auto"/>
      </w:pPr>
      <w:r w:rsidRPr="00DA0CA7">
        <w:t>Tensión arterial y frecuencia cardiaca en valores normales con la suspensión de la medicación que interfiera en la obtención de un resultado confiable.</w:t>
      </w:r>
    </w:p>
    <w:p w:rsidR="00B129B9" w:rsidRPr="00DA0CA7" w:rsidRDefault="00B129B9" w:rsidP="00B129B9">
      <w:pPr>
        <w:numPr>
          <w:ilvl w:val="0"/>
          <w:numId w:val="48"/>
        </w:numPr>
        <w:tabs>
          <w:tab w:val="clear" w:pos="8640"/>
        </w:tabs>
        <w:spacing w:after="160" w:line="480" w:lineRule="auto"/>
      </w:pPr>
      <w:r w:rsidRPr="00DA0CA7">
        <w:t xml:space="preserve">En caso de prueba </w:t>
      </w:r>
      <w:proofErr w:type="spellStart"/>
      <w:r w:rsidRPr="00DA0CA7">
        <w:t>ergométrica</w:t>
      </w:r>
      <w:proofErr w:type="spellEnd"/>
      <w:r w:rsidRPr="00DA0CA7">
        <w:t xml:space="preserve"> tener ropa y calzado adecuado.</w:t>
      </w:r>
    </w:p>
    <w:p w:rsidR="00B129B9" w:rsidRPr="00DA0CA7" w:rsidRDefault="00B129B9" w:rsidP="00B129B9">
      <w:pPr>
        <w:spacing w:line="480" w:lineRule="auto"/>
        <w:rPr>
          <w:lang w:val="es-MX"/>
        </w:rPr>
      </w:pPr>
      <w:r>
        <w:rPr>
          <w:lang w:val="es-MX"/>
        </w:rPr>
        <w:t>Los pacientes se sometieron</w:t>
      </w:r>
      <w:r w:rsidRPr="00DA0CA7">
        <w:rPr>
          <w:lang w:val="es-MX"/>
        </w:rPr>
        <w:t xml:space="preserve"> a estrés físico en </w:t>
      </w:r>
      <w:r>
        <w:rPr>
          <w:lang w:val="es-MX"/>
        </w:rPr>
        <w:t xml:space="preserve">una </w:t>
      </w:r>
      <w:r w:rsidRPr="00DA0CA7">
        <w:rPr>
          <w:lang w:val="es-MX"/>
        </w:rPr>
        <w:t xml:space="preserve">estera rodante utilizando el protocolo de Bruce (citado en </w:t>
      </w:r>
      <w:proofErr w:type="spellStart"/>
      <w:r w:rsidRPr="00DA0CA7">
        <w:rPr>
          <w:lang w:val="es-MX"/>
        </w:rPr>
        <w:t>Braunwald</w:t>
      </w:r>
      <w:proofErr w:type="spellEnd"/>
      <w:r w:rsidRPr="00DA0CA7">
        <w:rPr>
          <w:lang w:val="es-MX"/>
        </w:rPr>
        <w:t>, libro de enfermedades del corazón)</w:t>
      </w:r>
      <w:r>
        <w:rPr>
          <w:vertAlign w:val="superscript"/>
          <w:lang w:val="es-ES_tradnl"/>
        </w:rPr>
        <w:t xml:space="preserve"> 21</w:t>
      </w:r>
      <w:r w:rsidRPr="00DA0CA7">
        <w:rPr>
          <w:lang w:val="es-MX"/>
        </w:rPr>
        <w:t>. La interpretación de la PE en positiva, negativa o incierta se realizó según los criterios establecidos en las guías de práctica clínica de pruebas de esfuerzo.</w:t>
      </w:r>
      <w:r w:rsidRPr="00DA0CA7">
        <w:rPr>
          <w:vertAlign w:val="superscript"/>
          <w:lang w:val="es-ES_tradnl"/>
        </w:rPr>
        <w:t xml:space="preserve"> 27</w:t>
      </w:r>
      <w:r>
        <w:rPr>
          <w:vertAlign w:val="superscript"/>
          <w:lang w:val="es-ES_tradnl"/>
        </w:rPr>
        <w:t>-29</w:t>
      </w:r>
    </w:p>
    <w:p w:rsidR="00B129B9" w:rsidRPr="00DA0CA7" w:rsidRDefault="00B129B9" w:rsidP="00B129B9">
      <w:pPr>
        <w:spacing w:line="480" w:lineRule="auto"/>
        <w:rPr>
          <w:lang w:val="es-MX"/>
        </w:rPr>
      </w:pPr>
      <w:r w:rsidRPr="00DA0CA7">
        <w:rPr>
          <w:lang w:val="es-MX"/>
        </w:rPr>
        <w:t>Para el protocolo de estrés farmacológico se utiliz</w:t>
      </w:r>
      <w:r>
        <w:rPr>
          <w:lang w:val="es-MX"/>
        </w:rPr>
        <w:t xml:space="preserve">ó como fármaco </w:t>
      </w:r>
      <w:r w:rsidRPr="00DA0CA7">
        <w:rPr>
          <w:lang w:val="es-MX"/>
        </w:rPr>
        <w:t xml:space="preserve">la </w:t>
      </w:r>
      <w:proofErr w:type="spellStart"/>
      <w:r w:rsidRPr="00DA0CA7">
        <w:rPr>
          <w:lang w:val="es-MX"/>
        </w:rPr>
        <w:t>dobutamina</w:t>
      </w:r>
      <w:proofErr w:type="spellEnd"/>
      <w:r w:rsidRPr="00DA0CA7">
        <w:rPr>
          <w:lang w:val="es-MX"/>
        </w:rPr>
        <w:t xml:space="preserve"> (cumpliendo indicaciones y contraindicaciones de la ASNC).</w:t>
      </w:r>
      <w:r w:rsidRPr="00DA0CA7">
        <w:rPr>
          <w:vertAlign w:val="superscript"/>
          <w:lang w:val="es-ES_tradnl"/>
        </w:rPr>
        <w:t xml:space="preserve"> 27</w:t>
      </w:r>
      <w:r>
        <w:rPr>
          <w:vertAlign w:val="superscript"/>
          <w:lang w:val="es-ES_tradnl"/>
        </w:rPr>
        <w:t>-29</w:t>
      </w:r>
    </w:p>
    <w:p w:rsidR="00B129B9" w:rsidRPr="00DA0CA7" w:rsidRDefault="00B129B9" w:rsidP="00B129B9">
      <w:pPr>
        <w:spacing w:line="480" w:lineRule="auto"/>
        <w:rPr>
          <w:lang w:val="es-MX"/>
        </w:rPr>
      </w:pPr>
      <w:r w:rsidRPr="00DA0CA7">
        <w:t xml:space="preserve">Cuando el paciente alcanzó el 85% de la FC basal ya fuera por estrés físico o por fármacos se procedió a la inyección del radiofármaco. </w:t>
      </w:r>
      <w:r w:rsidRPr="00DA0CA7">
        <w:rPr>
          <w:lang w:val="es-MX"/>
        </w:rPr>
        <w:t xml:space="preserve">Se administraron 25 </w:t>
      </w:r>
      <w:proofErr w:type="spellStart"/>
      <w:r w:rsidRPr="00DA0CA7">
        <w:rPr>
          <w:lang w:val="es-MX"/>
        </w:rPr>
        <w:t>mCi</w:t>
      </w:r>
      <w:proofErr w:type="spellEnd"/>
      <w:r w:rsidRPr="00DA0CA7">
        <w:rPr>
          <w:lang w:val="es-MX"/>
        </w:rPr>
        <w:t xml:space="preserve"> de tecnecio con </w:t>
      </w:r>
      <w:proofErr w:type="spellStart"/>
      <w:r w:rsidRPr="00DA0CA7">
        <w:rPr>
          <w:lang w:val="es-MX"/>
        </w:rPr>
        <w:t>metoxi-isobutilisonitrilo</w:t>
      </w:r>
      <w:proofErr w:type="spellEnd"/>
      <w:r w:rsidRPr="00DA0CA7">
        <w:rPr>
          <w:lang w:val="es-MX"/>
        </w:rPr>
        <w:t xml:space="preserve"> (99mTc-MIBI) por vía endovenosa. Las imágenes se adquirieron los exámenes a los 50 minutos de inyectado el medicamento en una </w:t>
      </w:r>
      <w:proofErr w:type="spellStart"/>
      <w:r w:rsidRPr="00DA0CA7">
        <w:rPr>
          <w:lang w:val="es-MX"/>
        </w:rPr>
        <w:t>gammacámara</w:t>
      </w:r>
      <w:proofErr w:type="spellEnd"/>
      <w:r w:rsidRPr="00DA0CA7">
        <w:rPr>
          <w:lang w:val="es-MX"/>
        </w:rPr>
        <w:t xml:space="preserve"> SPECT doble cabezal. Los estudios se adquirieron gatillados con el electrocardiograma. </w:t>
      </w:r>
    </w:p>
    <w:p w:rsidR="00B129B9" w:rsidRPr="00DA0CA7" w:rsidRDefault="00B129B9" w:rsidP="00B129B9">
      <w:pPr>
        <w:spacing w:line="480" w:lineRule="auto"/>
        <w:rPr>
          <w:lang w:val="es-MX"/>
        </w:rPr>
      </w:pPr>
      <w:r w:rsidRPr="00DA0CA7">
        <w:lastRenderedPageBreak/>
        <w:t>El día del estudio en reposo se mantuvo los mismos cuidados y se inyectó el RF, se adquirieron las imágenes a los 50 minutos.</w:t>
      </w:r>
      <w:r w:rsidRPr="00DA0CA7">
        <w:rPr>
          <w:lang w:val="es-MX"/>
        </w:rPr>
        <w:t xml:space="preserve"> La interpretación de las imágenes obtenidas en el post-esfuerzo y en reposo se analizaron con el software correspondiente.</w:t>
      </w:r>
    </w:p>
    <w:p w:rsidR="00B129B9" w:rsidRPr="0020720B" w:rsidRDefault="00B129B9" w:rsidP="00B129B9">
      <w:pPr>
        <w:spacing w:line="480" w:lineRule="auto"/>
        <w:rPr>
          <w:lang w:val="es-MX"/>
        </w:rPr>
      </w:pPr>
      <w:r w:rsidRPr="00DA0CA7">
        <w:rPr>
          <w:lang w:val="es-MX"/>
        </w:rPr>
        <w:t>Se informó como positivo de isquemia al defecto de perfusión (</w:t>
      </w:r>
      <w:proofErr w:type="spellStart"/>
      <w:r w:rsidRPr="00DA0CA7">
        <w:rPr>
          <w:lang w:val="es-MX"/>
        </w:rPr>
        <w:t>hipocaptación</w:t>
      </w:r>
      <w:proofErr w:type="spellEnd"/>
      <w:r w:rsidRPr="00DA0CA7">
        <w:rPr>
          <w:lang w:val="es-MX"/>
        </w:rPr>
        <w:t xml:space="preserve"> del RF) que apareció en las imágenes del estrés que se recuperó con el reposo, siendo sugestivo de isquemia miocárdica y al defecto de captación del RF que apareció en el estrés y se mantuvo en el reposo (defecto fijo) sugestivo de necrosis miocárdica. </w:t>
      </w:r>
    </w:p>
    <w:p w:rsidR="00B129B9" w:rsidRPr="00DA0CA7" w:rsidRDefault="00B129B9" w:rsidP="00B129B9">
      <w:pPr>
        <w:spacing w:line="480" w:lineRule="auto"/>
        <w:rPr>
          <w:b/>
          <w:lang w:val="es-MX"/>
        </w:rPr>
      </w:pPr>
      <w:proofErr w:type="spellStart"/>
      <w:r w:rsidRPr="00DA0CA7">
        <w:rPr>
          <w:b/>
          <w:lang w:val="es-MX"/>
        </w:rPr>
        <w:t>Coronariografía</w:t>
      </w:r>
      <w:proofErr w:type="spellEnd"/>
    </w:p>
    <w:p w:rsidR="00B129B9" w:rsidRDefault="00B129B9" w:rsidP="00B129B9">
      <w:pPr>
        <w:spacing w:line="480" w:lineRule="auto"/>
      </w:pPr>
      <w:r w:rsidRPr="00DA0CA7">
        <w:rPr>
          <w:lang w:val="es-MX"/>
        </w:rPr>
        <w:t xml:space="preserve">A los pacientes con isquemia documentada en la perfusión miocárdica, según la valoración que realizó su cardiólogo, se les realizó una </w:t>
      </w:r>
      <w:proofErr w:type="spellStart"/>
      <w:r w:rsidRPr="00DA0CA7">
        <w:rPr>
          <w:lang w:val="es-MX"/>
        </w:rPr>
        <w:t>coronariografía</w:t>
      </w:r>
      <w:proofErr w:type="spellEnd"/>
      <w:r w:rsidRPr="00DA0CA7">
        <w:rPr>
          <w:lang w:val="es-MX"/>
        </w:rPr>
        <w:t>. Este procedimiento fue realizado por un especialista capacitado, utilizando la vía de acceso más aconsejable para cada paciente</w:t>
      </w:r>
      <w:r w:rsidRPr="00DA0CA7">
        <w:t>. A los pacientes que tuvieron lesiones ateroscleróticas coronarias significativas se les realizó una angioplastia percutánea siempre que cumplieran con indicación para la misma. Para todos estos estudios se solicitó el consentimiento informado a cada paciente y la ética médica fue un principio en cada paso de la investigación.</w:t>
      </w:r>
    </w:p>
    <w:p w:rsidR="00B7266D" w:rsidRPr="00022047" w:rsidRDefault="00306503" w:rsidP="00B7266D">
      <w:pPr>
        <w:spacing w:line="480" w:lineRule="auto"/>
        <w:rPr>
          <w:b/>
        </w:rPr>
      </w:pPr>
      <w:r>
        <w:rPr>
          <w:b/>
        </w:rPr>
        <w:t>Seguimiento</w:t>
      </w:r>
      <w:r w:rsidR="00B7266D" w:rsidRPr="00022047">
        <w:rPr>
          <w:b/>
        </w:rPr>
        <w:t xml:space="preserve"> al año:</w:t>
      </w:r>
    </w:p>
    <w:p w:rsidR="00B7266D" w:rsidRDefault="00306503" w:rsidP="00B7266D">
      <w:pPr>
        <w:spacing w:line="480" w:lineRule="auto"/>
      </w:pPr>
      <w:r>
        <w:t xml:space="preserve">Se le </w:t>
      </w:r>
      <w:r w:rsidR="00647823">
        <w:t>hizo</w:t>
      </w:r>
      <w:r w:rsidR="00B7266D">
        <w:t xml:space="preserve"> un seguimiento de cada paciente al año de realizado la perfusión miocárdica independientemente de su resultado. Se procedió con un interrogatorio, examen físico y ECG en reposo. Se definió si presentaron algún evento isquémico durante este tiempo como:</w:t>
      </w:r>
    </w:p>
    <w:p w:rsidR="00B7266D" w:rsidRDefault="00B7266D" w:rsidP="00B7266D">
      <w:pPr>
        <w:spacing w:line="480" w:lineRule="auto"/>
      </w:pPr>
      <w:r>
        <w:lastRenderedPageBreak/>
        <w:t>No eventos isquémicos: la no presencia de dolor torácico de causa cardiaca isquémica, no alteraciones eléctricas en el ECG sugestiv</w:t>
      </w:r>
      <w:r w:rsidR="00306503">
        <w:t>as de isquemia, ni hallazgo</w:t>
      </w:r>
      <w:r>
        <w:t xml:space="preserve"> en otros medios diagnósticos resultados compatibles con isquemia cardiaca.</w:t>
      </w:r>
    </w:p>
    <w:p w:rsidR="00B7266D" w:rsidRDefault="00B7266D" w:rsidP="00B7266D">
      <w:pPr>
        <w:spacing w:line="480" w:lineRule="auto"/>
      </w:pPr>
      <w:r>
        <w:t xml:space="preserve">Revascularización coronaria por empeoramiento de su sintomatología y/o presentar lesiones significativas obstructivas en las arterias coronarias </w:t>
      </w:r>
      <w:proofErr w:type="spellStart"/>
      <w:r>
        <w:t>epicárdicas</w:t>
      </w:r>
      <w:proofErr w:type="spellEnd"/>
      <w:r>
        <w:t>.</w:t>
      </w:r>
    </w:p>
    <w:p w:rsidR="00B7266D" w:rsidRDefault="00B95180" w:rsidP="00B7266D">
      <w:pPr>
        <w:spacing w:line="480" w:lineRule="auto"/>
      </w:pPr>
      <w:r>
        <w:t>SCA: SCASEST</w:t>
      </w:r>
      <w:r w:rsidR="00B21608">
        <w:t xml:space="preserve"> </w:t>
      </w:r>
      <w:r>
        <w:t>(</w:t>
      </w:r>
      <w:r w:rsidR="00B7266D">
        <w:t>angina inestable</w:t>
      </w:r>
      <w:r w:rsidR="003D28D7">
        <w:t>, infarto agudo de</w:t>
      </w:r>
      <w:r>
        <w:t xml:space="preserve"> miocardio sin</w:t>
      </w:r>
      <w:r w:rsidR="003D28D7">
        <w:t xml:space="preserve"> elevación</w:t>
      </w:r>
      <w:r>
        <w:t xml:space="preserve">), </w:t>
      </w:r>
      <w:r w:rsidR="000A694B">
        <w:t>SCACEST (infarto</w:t>
      </w:r>
      <w:r>
        <w:t xml:space="preserve"> agudo de miocardio con </w:t>
      </w:r>
      <w:r w:rsidR="003D28D7">
        <w:t>elevación del segmento ST</w:t>
      </w:r>
      <w:r w:rsidR="00B7266D">
        <w:t>)</w:t>
      </w:r>
      <w:r w:rsidR="003D28D7">
        <w:t>.</w:t>
      </w:r>
    </w:p>
    <w:p w:rsidR="00B7266D" w:rsidRDefault="00B7266D" w:rsidP="00B7266D">
      <w:pPr>
        <w:spacing w:line="480" w:lineRule="auto"/>
      </w:pPr>
      <w:r>
        <w:t xml:space="preserve">SCC (angina estable, angina </w:t>
      </w:r>
      <w:proofErr w:type="spellStart"/>
      <w:r>
        <w:t>microvascular</w:t>
      </w:r>
      <w:proofErr w:type="spellEnd"/>
      <w:r>
        <w:t xml:space="preserve">, angina </w:t>
      </w:r>
      <w:proofErr w:type="spellStart"/>
      <w:r>
        <w:t>vasoespástica</w:t>
      </w:r>
      <w:proofErr w:type="spellEnd"/>
      <w:r>
        <w:t xml:space="preserve"> que se compensaron con medicación anti-isquémica óptima.</w:t>
      </w:r>
    </w:p>
    <w:p w:rsidR="00B7266D" w:rsidRPr="00DA0CA7" w:rsidRDefault="00B7266D" w:rsidP="00B129B9">
      <w:pPr>
        <w:spacing w:line="480" w:lineRule="auto"/>
      </w:pPr>
      <w:r>
        <w:t xml:space="preserve">Muerte cardiaca: paciente fallecido de causa cardiaca. </w:t>
      </w:r>
    </w:p>
    <w:p w:rsidR="00B129B9" w:rsidRPr="00DA0CA7" w:rsidRDefault="00B129B9" w:rsidP="00B129B9">
      <w:pPr>
        <w:spacing w:line="480" w:lineRule="auto"/>
        <w:rPr>
          <w:rFonts w:eastAsia="Times New Roman"/>
          <w:lang w:eastAsia="es-ES"/>
        </w:rPr>
      </w:pPr>
      <w:r w:rsidRPr="00DA0CA7">
        <w:t xml:space="preserve">Toda la información obtenida de los pacientes y datos de la perfusión miocárdica con SPECT se llevó a una planilla (Anexo 1) y a la base de datos del departamento de Cardiología y Medicina Nuclear </w:t>
      </w:r>
      <w:r w:rsidRPr="00DA0CA7">
        <w:rPr>
          <w:lang w:val="es-ES_tradnl"/>
        </w:rPr>
        <w:t>del Hospital CIMEQ</w:t>
      </w:r>
      <w:r w:rsidRPr="00DA0CA7">
        <w:t>.</w:t>
      </w:r>
    </w:p>
    <w:p w:rsidR="005C76B1" w:rsidRDefault="003C5CB2" w:rsidP="00EF6D32">
      <w:pPr>
        <w:spacing w:line="480" w:lineRule="auto"/>
      </w:pPr>
      <w:r>
        <w:t>Los datos</w:t>
      </w:r>
      <w:r w:rsidR="00B129B9" w:rsidRPr="00DA0CA7">
        <w:t xml:space="preserve"> fueron almacenados en una base de datos confeccionada en Excel del paquete contenido en Microsoft office profesional 2018. </w:t>
      </w:r>
      <w:r w:rsidR="00B129B9" w:rsidRPr="00DA0CA7">
        <w:rPr>
          <w:rFonts w:eastAsia="Times New Roman"/>
        </w:rPr>
        <w:t xml:space="preserve">El programa </w:t>
      </w:r>
      <w:proofErr w:type="spellStart"/>
      <w:r w:rsidR="00B129B9" w:rsidRPr="00DA0CA7">
        <w:t>Statistical</w:t>
      </w:r>
      <w:proofErr w:type="spellEnd"/>
      <w:r w:rsidR="00B129B9" w:rsidRPr="00DA0CA7">
        <w:t xml:space="preserve"> </w:t>
      </w:r>
      <w:proofErr w:type="spellStart"/>
      <w:r w:rsidR="00B129B9" w:rsidRPr="00DA0CA7">
        <w:t>Package</w:t>
      </w:r>
      <w:proofErr w:type="spellEnd"/>
      <w:r w:rsidR="00B129B9" w:rsidRPr="00DA0CA7">
        <w:t xml:space="preserve"> </w:t>
      </w:r>
      <w:proofErr w:type="spellStart"/>
      <w:r w:rsidR="00B129B9" w:rsidRPr="00DA0CA7">
        <w:t>Scientific</w:t>
      </w:r>
      <w:proofErr w:type="spellEnd"/>
      <w:r w:rsidR="00B129B9" w:rsidRPr="00DA0CA7">
        <w:t xml:space="preserve"> </w:t>
      </w:r>
      <w:proofErr w:type="spellStart"/>
      <w:r w:rsidR="00B129B9" w:rsidRPr="00DA0CA7">
        <w:t>System</w:t>
      </w:r>
      <w:proofErr w:type="spellEnd"/>
      <w:r w:rsidR="00B129B9" w:rsidRPr="00DA0CA7">
        <w:rPr>
          <w:rFonts w:eastAsia="Times New Roman"/>
        </w:rPr>
        <w:t xml:space="preserve"> (SPSS) versión 20.0 fue utilizado como el instrumento estadístico.</w:t>
      </w:r>
      <w:r w:rsidR="00B129B9">
        <w:rPr>
          <w:rFonts w:eastAsia="Times New Roman"/>
        </w:rPr>
        <w:t xml:space="preserve"> </w:t>
      </w:r>
      <w:r w:rsidR="00B129B9" w:rsidRPr="00DA0CA7">
        <w:rPr>
          <w:rFonts w:eastAsia="Times New Roman"/>
          <w:lang w:val="es-MX"/>
        </w:rPr>
        <w:t>En dicho sistema se efectuó el plan de validación de la congruencia interna de los datos, así como su plan de tabulación y de análisis.</w:t>
      </w:r>
      <w:r w:rsidR="00B129B9" w:rsidRPr="00DA0CA7">
        <w:rPr>
          <w:rFonts w:eastAsia="Times New Roman"/>
        </w:rPr>
        <w:t xml:space="preserve"> </w:t>
      </w:r>
      <w:r w:rsidR="00B129B9" w:rsidRPr="00BA71A6">
        <w:rPr>
          <w:rFonts w:eastAsia="Times New Roman"/>
        </w:rPr>
        <w:t>Las variables cualitativas se expresaron en frecuencia y en porc</w:t>
      </w:r>
      <w:r w:rsidR="0066679B" w:rsidRPr="00BA71A6">
        <w:rPr>
          <w:rFonts w:eastAsia="Times New Roman"/>
        </w:rPr>
        <w:t xml:space="preserve">entaje y las cuantitativas </w:t>
      </w:r>
      <w:r w:rsidR="00BA71A6" w:rsidRPr="00BA71A6">
        <w:rPr>
          <w:rFonts w:eastAsia="Times New Roman"/>
        </w:rPr>
        <w:t>continuas</w:t>
      </w:r>
      <w:r w:rsidR="00B129B9" w:rsidRPr="00BA71A6">
        <w:rPr>
          <w:rFonts w:eastAsia="Times New Roman"/>
        </w:rPr>
        <w:t xml:space="preserve"> en valores de media y desviación estándar según su distribución y </w:t>
      </w:r>
      <w:proofErr w:type="spellStart"/>
      <w:r w:rsidR="00B129B9" w:rsidRPr="00BA71A6">
        <w:rPr>
          <w:rFonts w:eastAsia="Times New Roman"/>
        </w:rPr>
        <w:t>chi</w:t>
      </w:r>
      <w:proofErr w:type="spellEnd"/>
      <w:r w:rsidR="00B129B9" w:rsidRPr="00BA71A6">
        <w:rPr>
          <w:rFonts w:eastAsia="Times New Roman"/>
        </w:rPr>
        <w:t xml:space="preserve"> cuadrado. </w:t>
      </w:r>
      <w:r w:rsidR="00B129B9" w:rsidRPr="00BA71A6">
        <w:t xml:space="preserve">Se tomó como intervalo de confianza el 95%, con </w:t>
      </w:r>
      <w:r w:rsidR="00B129B9" w:rsidRPr="00BA71A6">
        <w:lastRenderedPageBreak/>
        <w:t>una p &lt; 0.05 para la aceptación e interpretación de los resultados.</w:t>
      </w:r>
      <w:r w:rsidR="0066679B" w:rsidRPr="00BA71A6">
        <w:t xml:space="preserve"> Se estimó el riesgo relativo o riesgo estimado.</w:t>
      </w:r>
    </w:p>
    <w:p w:rsidR="00B129B9" w:rsidRPr="00740BE6" w:rsidRDefault="00B129B9" w:rsidP="00EF6D32">
      <w:pPr>
        <w:spacing w:line="480" w:lineRule="auto"/>
      </w:pPr>
    </w:p>
    <w:p w:rsidR="00831CFC" w:rsidRPr="00740BE6" w:rsidRDefault="00F4613C" w:rsidP="00FB2DD5">
      <w:pPr>
        <w:pStyle w:val="Ttulo2"/>
        <w:spacing w:line="480" w:lineRule="auto"/>
        <w:rPr>
          <w:bCs/>
        </w:rPr>
      </w:pPr>
      <w:bookmarkStart w:id="46" w:name="_Toc518382548"/>
      <w:r w:rsidRPr="00740BE6">
        <w:rPr>
          <w:bCs/>
        </w:rPr>
        <w:t>3.</w:t>
      </w:r>
      <w:r w:rsidR="00A47CEE">
        <w:rPr>
          <w:bCs/>
        </w:rPr>
        <w:t>6</w:t>
      </w:r>
      <w:r w:rsidRPr="00740BE6">
        <w:rPr>
          <w:bCs/>
        </w:rPr>
        <w:t>-</w:t>
      </w:r>
      <w:r w:rsidR="00831CFC" w:rsidRPr="00740BE6">
        <w:rPr>
          <w:bCs/>
        </w:rPr>
        <w:t xml:space="preserve"> Aspectos éticos</w:t>
      </w:r>
      <w:bookmarkEnd w:id="46"/>
    </w:p>
    <w:p w:rsidR="00B129B9" w:rsidRPr="00DA0CA7" w:rsidRDefault="00B129B9" w:rsidP="00B129B9">
      <w:pPr>
        <w:spacing w:line="480" w:lineRule="auto"/>
      </w:pPr>
      <w:r>
        <w:t xml:space="preserve"> </w:t>
      </w:r>
      <w:r w:rsidRPr="00DA0CA7">
        <w:rPr>
          <w:lang w:val="es-ES_tradnl" w:eastAsia="es-ES"/>
        </w:rPr>
        <w:t xml:space="preserve">Se cumplieron los principios estipulados en la Declaración de Helsinki </w:t>
      </w:r>
      <w:r w:rsidRPr="00DA0CA7">
        <w:rPr>
          <w:vertAlign w:val="superscript"/>
          <w:lang w:val="es-ES_tradnl" w:eastAsia="es-ES"/>
        </w:rPr>
        <w:t>73</w:t>
      </w:r>
      <w:r w:rsidRPr="00DA0CA7">
        <w:rPr>
          <w:lang w:eastAsia="es-ES"/>
        </w:rPr>
        <w:t xml:space="preserve">. </w:t>
      </w:r>
      <w:r w:rsidRPr="00DA0CA7">
        <w:rPr>
          <w:lang w:val="es-ES_tradnl" w:eastAsia="es-ES"/>
        </w:rPr>
        <w:t>Su contenido en distintas versiones hasta la fecha actual abarca las recomendaciones a los médicos en la Investigación Biomédica en seres humanos y cumpliendo con los principios de la ética médica. A todos los pacientes se les solicitó un consentimiento informado (Anexo 2), después de explicárseles las características del estudio. Se guardó la confiabilidad debida en los casos personales que se estudiaron. No se empleó la información obtenida para otros fines que no fuese los propios de la investigación realizada, ni se divulgó la información en un plano que no se corresponda con el científico.</w:t>
      </w:r>
    </w:p>
    <w:p w:rsidR="00A77827" w:rsidRPr="00740BE6" w:rsidRDefault="00A77827" w:rsidP="00EF6D32">
      <w:pPr>
        <w:spacing w:line="480" w:lineRule="auto"/>
      </w:pPr>
    </w:p>
    <w:p w:rsidR="00A77827" w:rsidRPr="00740BE6" w:rsidRDefault="00A77827" w:rsidP="00A77827">
      <w:pPr>
        <w:pStyle w:val="Ttulo2"/>
        <w:spacing w:line="480" w:lineRule="auto"/>
        <w:rPr>
          <w:bCs/>
        </w:rPr>
      </w:pPr>
      <w:bookmarkStart w:id="47" w:name="_Toc518382549"/>
      <w:r w:rsidRPr="00740BE6">
        <w:rPr>
          <w:bCs/>
        </w:rPr>
        <w:t>3.</w:t>
      </w:r>
      <w:r w:rsidR="00A47CEE">
        <w:rPr>
          <w:bCs/>
        </w:rPr>
        <w:t>7</w:t>
      </w:r>
      <w:r w:rsidRPr="00740BE6">
        <w:rPr>
          <w:bCs/>
        </w:rPr>
        <w:t>- Limitaciones del estudio</w:t>
      </w:r>
      <w:bookmarkEnd w:id="47"/>
    </w:p>
    <w:p w:rsidR="00B129B9" w:rsidRDefault="00B129B9" w:rsidP="00B129B9">
      <w:pPr>
        <w:spacing w:line="480" w:lineRule="auto"/>
      </w:pPr>
      <w:r>
        <w:t xml:space="preserve"> </w:t>
      </w:r>
      <w:r w:rsidRPr="00DA0CA7">
        <w:t xml:space="preserve">Consideramos </w:t>
      </w:r>
      <w:r>
        <w:t xml:space="preserve">posibles limitaciones la no homogenización de los softwares de procesamiento de imágenes entre los diferentes centros que disponen de la tecnología pertinente, así como la falta de consenso entre los facultativos en la valoración de las indicaciones del estudio. </w:t>
      </w:r>
    </w:p>
    <w:p w:rsidR="00A77827" w:rsidRPr="00740BE6" w:rsidRDefault="00A77827" w:rsidP="00F67184">
      <w:pPr>
        <w:spacing w:line="480" w:lineRule="auto"/>
      </w:pPr>
    </w:p>
    <w:p w:rsidR="00A77827" w:rsidRPr="00740BE6" w:rsidRDefault="00A77827" w:rsidP="00EF6D32">
      <w:pPr>
        <w:spacing w:line="480" w:lineRule="auto"/>
      </w:pPr>
    </w:p>
    <w:p w:rsidR="00831CFC" w:rsidRPr="00740BE6" w:rsidRDefault="00087323" w:rsidP="00EF6D32">
      <w:pPr>
        <w:spacing w:line="480" w:lineRule="auto"/>
      </w:pPr>
      <w:r w:rsidRPr="00740BE6">
        <w:br w:type="page"/>
      </w:r>
    </w:p>
    <w:p w:rsidR="009A5AFB" w:rsidRPr="00740BE6" w:rsidRDefault="009A5AFB" w:rsidP="00EF6D32">
      <w:pPr>
        <w:pStyle w:val="Ttulo1"/>
        <w:spacing w:line="480" w:lineRule="auto"/>
      </w:pPr>
    </w:p>
    <w:p w:rsidR="009A5AFB" w:rsidRPr="00740BE6" w:rsidRDefault="009A5AFB" w:rsidP="00EF6D32">
      <w:pPr>
        <w:pStyle w:val="Ttulo1"/>
        <w:spacing w:line="480" w:lineRule="auto"/>
      </w:pPr>
    </w:p>
    <w:p w:rsidR="009A5AFB" w:rsidRPr="00740BE6" w:rsidRDefault="009A5AFB" w:rsidP="00EF6D32">
      <w:pPr>
        <w:pStyle w:val="Ttulo1"/>
        <w:spacing w:line="480" w:lineRule="auto"/>
        <w:jc w:val="center"/>
        <w:rPr>
          <w:sz w:val="32"/>
          <w:szCs w:val="32"/>
        </w:rPr>
      </w:pPr>
    </w:p>
    <w:p w:rsidR="009A5AFB" w:rsidRPr="000756D2" w:rsidRDefault="00087323" w:rsidP="000756D2">
      <w:pPr>
        <w:pStyle w:val="Ttulo1"/>
        <w:spacing w:before="2040" w:line="480" w:lineRule="auto"/>
        <w:jc w:val="center"/>
        <w:rPr>
          <w:sz w:val="32"/>
          <w:szCs w:val="32"/>
          <w:lang w:val="pt-BR"/>
        </w:rPr>
      </w:pPr>
      <w:bookmarkStart w:id="48" w:name="_Toc518382550"/>
      <w:r w:rsidRPr="000756D2">
        <w:rPr>
          <w:sz w:val="32"/>
          <w:szCs w:val="32"/>
          <w:lang w:val="pt-BR"/>
        </w:rPr>
        <w:t>I</w:t>
      </w:r>
      <w:r w:rsidR="001B4175" w:rsidRPr="000756D2">
        <w:rPr>
          <w:sz w:val="32"/>
          <w:szCs w:val="32"/>
          <w:lang w:val="pt-BR"/>
        </w:rPr>
        <w:t>V</w:t>
      </w:r>
      <w:r w:rsidR="009A5AFB" w:rsidRPr="000756D2">
        <w:rPr>
          <w:sz w:val="32"/>
          <w:szCs w:val="32"/>
          <w:lang w:val="pt-BR"/>
        </w:rPr>
        <w:t>. CAPÍTULO: RESULTADOS Y DISCUSIÓN</w:t>
      </w:r>
      <w:bookmarkEnd w:id="48"/>
    </w:p>
    <w:p w:rsidR="009A5AFB" w:rsidRPr="00740BE6" w:rsidRDefault="009A5AFB" w:rsidP="003D37CF">
      <w:pPr>
        <w:spacing w:before="1440" w:line="480" w:lineRule="auto"/>
        <w:rPr>
          <w:b/>
          <w:sz w:val="28"/>
          <w:szCs w:val="28"/>
          <w:u w:val="single"/>
        </w:rPr>
      </w:pPr>
      <w:r w:rsidRPr="00740BE6">
        <w:br w:type="page"/>
      </w:r>
      <w:r w:rsidR="001B4175" w:rsidRPr="00740BE6">
        <w:rPr>
          <w:b/>
          <w:u w:val="single"/>
        </w:rPr>
        <w:lastRenderedPageBreak/>
        <w:t>4to</w:t>
      </w:r>
      <w:r w:rsidRPr="00740BE6">
        <w:rPr>
          <w:b/>
          <w:u w:val="single"/>
        </w:rPr>
        <w:t xml:space="preserve"> CAPÍTULO</w:t>
      </w:r>
      <w:r w:rsidRPr="00740BE6">
        <w:rPr>
          <w:b/>
        </w:rPr>
        <w:t>:</w:t>
      </w:r>
      <w:r w:rsidRPr="00740BE6">
        <w:rPr>
          <w:b/>
          <w:sz w:val="28"/>
          <w:szCs w:val="28"/>
        </w:rPr>
        <w:t xml:space="preserve"> </w:t>
      </w:r>
      <w:r w:rsidRPr="00740BE6">
        <w:rPr>
          <w:rStyle w:val="Ttulo2Car"/>
        </w:rPr>
        <w:t>RESULTADOS Y DISCUSIÓN</w:t>
      </w:r>
    </w:p>
    <w:p w:rsidR="00415DAA" w:rsidRPr="00740BE6" w:rsidRDefault="00415DAA" w:rsidP="00EF6D32">
      <w:pPr>
        <w:pStyle w:val="Ttulo2"/>
        <w:spacing w:line="480" w:lineRule="auto"/>
      </w:pPr>
      <w:bookmarkStart w:id="49" w:name="_Toc355360615"/>
      <w:bookmarkStart w:id="50" w:name="_Toc355361463"/>
    </w:p>
    <w:p w:rsidR="00630E7A" w:rsidRPr="00740BE6" w:rsidRDefault="00E72DF2" w:rsidP="00EF6D32">
      <w:pPr>
        <w:pStyle w:val="Ttulo2"/>
        <w:spacing w:line="480" w:lineRule="auto"/>
      </w:pPr>
      <w:bookmarkStart w:id="51" w:name="_Toc518382551"/>
      <w:r w:rsidRPr="00740BE6">
        <w:t>4.1-</w:t>
      </w:r>
      <w:r w:rsidR="00FB2DD5" w:rsidRPr="00740BE6">
        <w:t xml:space="preserve"> </w:t>
      </w:r>
      <w:r w:rsidR="00630E7A" w:rsidRPr="00740BE6">
        <w:t>Resultados</w:t>
      </w:r>
      <w:bookmarkEnd w:id="49"/>
      <w:bookmarkEnd w:id="50"/>
      <w:bookmarkEnd w:id="51"/>
    </w:p>
    <w:p w:rsidR="00D347DD" w:rsidRPr="001E20CD" w:rsidRDefault="00D347DD" w:rsidP="00D347DD">
      <w:pPr>
        <w:spacing w:before="100" w:beforeAutospacing="1" w:after="100" w:afterAutospacing="1" w:line="480" w:lineRule="auto"/>
        <w:ind w:right="284"/>
        <w:contextualSpacing/>
      </w:pPr>
      <w:r w:rsidRPr="001E20CD">
        <w:t>F</w:t>
      </w:r>
      <w:r w:rsidR="00C71430">
        <w:t>ueron estudiados un total de 180</w:t>
      </w:r>
      <w:r w:rsidRPr="001E20CD">
        <w:t xml:space="preserve"> pacientes, predominando el sexo mas</w:t>
      </w:r>
      <w:r w:rsidR="00AA4976">
        <w:t>culino, representado por el 53,3</w:t>
      </w:r>
      <w:r w:rsidRPr="001E20CD">
        <w:t>%.</w:t>
      </w:r>
      <w:r w:rsidR="00AA4976">
        <w:t xml:space="preserve"> La media de la edad fue de 61.9</w:t>
      </w:r>
      <w:r w:rsidRPr="001E20CD">
        <w:t>± 9.8 años, mientras que la mediana fue d</w:t>
      </w:r>
      <w:r w:rsidR="00AA4976">
        <w:t>e 63</w:t>
      </w:r>
      <w:r w:rsidRPr="001E20CD">
        <w:t xml:space="preserve"> años</w:t>
      </w:r>
      <w:r w:rsidR="00E94C87">
        <w:t>. La edad mínima fue de 37 años, mientras que la máxima fue de 89 años</w:t>
      </w:r>
      <w:r w:rsidR="00713696">
        <w:t>.</w:t>
      </w:r>
      <w:r w:rsidR="00E94C87">
        <w:t xml:space="preserve"> </w:t>
      </w:r>
      <w:r w:rsidR="00713696">
        <w:t>(tabla1)</w:t>
      </w:r>
    </w:p>
    <w:p w:rsidR="00D347DD" w:rsidRPr="001E20CD" w:rsidRDefault="00D347DD" w:rsidP="00D347DD">
      <w:pPr>
        <w:spacing w:before="100" w:beforeAutospacing="1" w:after="100" w:afterAutospacing="1" w:line="360" w:lineRule="auto"/>
        <w:ind w:right="284"/>
        <w:contextualSpacing/>
      </w:pPr>
      <w:r w:rsidRPr="001E20CD">
        <w:t>Tabla1. Distribución de los pacientes según edad y sexo.</w:t>
      </w:r>
    </w:p>
    <w:tbl>
      <w:tblPr>
        <w:tblStyle w:val="Tablanormal5"/>
        <w:tblW w:w="0" w:type="auto"/>
        <w:tblLook w:val="04A0" w:firstRow="1" w:lastRow="0" w:firstColumn="1" w:lastColumn="0" w:noHBand="0" w:noVBand="1"/>
      </w:tblPr>
      <w:tblGrid>
        <w:gridCol w:w="1455"/>
        <w:gridCol w:w="1976"/>
        <w:gridCol w:w="2074"/>
        <w:gridCol w:w="1288"/>
      </w:tblGrid>
      <w:tr w:rsidR="00937F19" w:rsidRPr="005D67E9" w:rsidTr="005D67E9">
        <w:trPr>
          <w:cnfStyle w:val="100000000000" w:firstRow="1" w:lastRow="0" w:firstColumn="0" w:lastColumn="0" w:oddVBand="0" w:evenVBand="0" w:oddHBand="0" w:evenHBand="0" w:firstRowFirstColumn="0" w:firstRowLastColumn="0" w:lastRowFirstColumn="0" w:lastRowLastColumn="0"/>
          <w:trHeight w:val="966"/>
        </w:trPr>
        <w:tc>
          <w:tcPr>
            <w:cnfStyle w:val="001000000100" w:firstRow="0" w:lastRow="0" w:firstColumn="1" w:lastColumn="0" w:oddVBand="0" w:evenVBand="0" w:oddHBand="0" w:evenHBand="0" w:firstRowFirstColumn="1" w:firstRowLastColumn="0" w:lastRowFirstColumn="0" w:lastRowLastColumn="0"/>
            <w:tcW w:w="3431" w:type="dxa"/>
            <w:gridSpan w:val="2"/>
            <w:shd w:val="clear" w:color="auto" w:fill="E5A5B4"/>
          </w:tcPr>
          <w:p w:rsidR="00D347DD" w:rsidRPr="005D67E9" w:rsidRDefault="00D347DD" w:rsidP="00D347DD">
            <w:pPr>
              <w:pStyle w:val="Textoindependiente"/>
              <w:spacing w:line="240" w:lineRule="auto"/>
              <w:jc w:val="center"/>
              <w:rPr>
                <w:b/>
                <w:i w:val="0"/>
              </w:rPr>
            </w:pPr>
          </w:p>
          <w:p w:rsidR="00D347DD" w:rsidRPr="005D67E9" w:rsidRDefault="00D347DD" w:rsidP="00D347DD">
            <w:pPr>
              <w:pStyle w:val="Textoindependiente"/>
              <w:spacing w:line="240" w:lineRule="auto"/>
              <w:jc w:val="center"/>
              <w:rPr>
                <w:b/>
                <w:i w:val="0"/>
              </w:rPr>
            </w:pPr>
            <w:r w:rsidRPr="005D67E9">
              <w:rPr>
                <w:b/>
                <w:i w:val="0"/>
              </w:rPr>
              <w:t>Variables</w:t>
            </w:r>
          </w:p>
        </w:tc>
        <w:tc>
          <w:tcPr>
            <w:tcW w:w="2074" w:type="dxa"/>
            <w:shd w:val="clear" w:color="auto" w:fill="E5A5B4"/>
          </w:tcPr>
          <w:p w:rsidR="00D347DD" w:rsidRPr="005D67E9" w:rsidRDefault="00D347DD" w:rsidP="00D347DD">
            <w:pPr>
              <w:pStyle w:val="Textoindependiente"/>
              <w:spacing w:line="240" w:lineRule="auto"/>
              <w:jc w:val="center"/>
              <w:cnfStyle w:val="100000000000" w:firstRow="1" w:lastRow="0" w:firstColumn="0" w:lastColumn="0" w:oddVBand="0" w:evenVBand="0" w:oddHBand="0" w:evenHBand="0" w:firstRowFirstColumn="0" w:firstRowLastColumn="0" w:lastRowFirstColumn="0" w:lastRowLastColumn="0"/>
              <w:rPr>
                <w:b/>
                <w:i w:val="0"/>
              </w:rPr>
            </w:pPr>
          </w:p>
          <w:p w:rsidR="00D347DD" w:rsidRPr="005D67E9" w:rsidRDefault="005D67E9" w:rsidP="00D347DD">
            <w:pPr>
              <w:pStyle w:val="Textoindependiente"/>
              <w:spacing w:line="240" w:lineRule="auto"/>
              <w:jc w:val="center"/>
              <w:cnfStyle w:val="100000000000" w:firstRow="1" w:lastRow="0" w:firstColumn="0" w:lastColumn="0" w:oddVBand="0" w:evenVBand="0" w:oddHBand="0" w:evenHBand="0" w:firstRowFirstColumn="0" w:firstRowLastColumn="0" w:lastRowFirstColumn="0" w:lastRowLastColumn="0"/>
              <w:rPr>
                <w:b/>
                <w:i w:val="0"/>
              </w:rPr>
            </w:pPr>
            <w:r w:rsidRPr="005D67E9">
              <w:rPr>
                <w:b/>
                <w:i w:val="0"/>
              </w:rPr>
              <w:t>n</w:t>
            </w:r>
            <w:r w:rsidR="00AA4976" w:rsidRPr="005D67E9">
              <w:rPr>
                <w:b/>
                <w:i w:val="0"/>
              </w:rPr>
              <w:t>=180</w:t>
            </w:r>
          </w:p>
        </w:tc>
        <w:tc>
          <w:tcPr>
            <w:tcW w:w="1288" w:type="dxa"/>
            <w:shd w:val="clear" w:color="auto" w:fill="E5A5B4"/>
          </w:tcPr>
          <w:p w:rsidR="00D347DD" w:rsidRPr="005D67E9" w:rsidRDefault="00D347DD" w:rsidP="00D347DD">
            <w:pPr>
              <w:jc w:val="center"/>
              <w:cnfStyle w:val="100000000000" w:firstRow="1" w:lastRow="0" w:firstColumn="0" w:lastColumn="0" w:oddVBand="0" w:evenVBand="0" w:oddHBand="0" w:evenHBand="0" w:firstRowFirstColumn="0" w:firstRowLastColumn="0" w:lastRowFirstColumn="0" w:lastRowLastColumn="0"/>
              <w:rPr>
                <w:b/>
              </w:rPr>
            </w:pPr>
          </w:p>
          <w:p w:rsidR="00D347DD" w:rsidRPr="005D67E9" w:rsidRDefault="00D347DD" w:rsidP="00D347DD">
            <w:pPr>
              <w:pStyle w:val="Textoindependiente"/>
              <w:jc w:val="center"/>
              <w:cnfStyle w:val="100000000000" w:firstRow="1" w:lastRow="0" w:firstColumn="0" w:lastColumn="0" w:oddVBand="0" w:evenVBand="0" w:oddHBand="0" w:evenHBand="0" w:firstRowFirstColumn="0" w:firstRowLastColumn="0" w:lastRowFirstColumn="0" w:lastRowLastColumn="0"/>
              <w:rPr>
                <w:b/>
                <w:bCs/>
              </w:rPr>
            </w:pPr>
            <w:r w:rsidRPr="005D67E9">
              <w:rPr>
                <w:b/>
              </w:rPr>
              <w:t>%</w:t>
            </w:r>
          </w:p>
        </w:tc>
      </w:tr>
      <w:tr w:rsidR="00937F19" w:rsidRPr="001E20CD" w:rsidTr="005D67E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55" w:type="dxa"/>
            <w:vMerge w:val="restart"/>
          </w:tcPr>
          <w:p w:rsidR="00E94C87" w:rsidRPr="005D67E9" w:rsidRDefault="00E94C87" w:rsidP="00D347DD">
            <w:pPr>
              <w:pStyle w:val="Textoindependiente"/>
              <w:rPr>
                <w:b/>
                <w:i w:val="0"/>
              </w:rPr>
            </w:pPr>
            <w:r w:rsidRPr="005D67E9">
              <w:rPr>
                <w:b/>
                <w:i w:val="0"/>
              </w:rPr>
              <w:t>Edad</w:t>
            </w:r>
          </w:p>
        </w:tc>
        <w:tc>
          <w:tcPr>
            <w:tcW w:w="1976" w:type="dxa"/>
          </w:tcPr>
          <w:p w:rsidR="00E94C87" w:rsidRPr="001E20CD"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rsidRPr="001E20CD">
              <w:t xml:space="preserve">Media </w:t>
            </w:r>
            <w:r w:rsidRPr="001E20CD">
              <w:rPr>
                <w:i/>
              </w:rPr>
              <w:t>± SD</w:t>
            </w:r>
          </w:p>
        </w:tc>
        <w:tc>
          <w:tcPr>
            <w:tcW w:w="2074" w:type="dxa"/>
          </w:tcPr>
          <w:p w:rsidR="00E94C87" w:rsidRPr="001E20CD"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t>61.9</w:t>
            </w:r>
            <w:r w:rsidRPr="001E20CD">
              <w:t>± 9.8</w:t>
            </w:r>
            <w:r w:rsidR="0049785A">
              <w:t xml:space="preserve"> años</w:t>
            </w:r>
          </w:p>
        </w:tc>
        <w:tc>
          <w:tcPr>
            <w:tcW w:w="1288" w:type="dxa"/>
          </w:tcPr>
          <w:p w:rsidR="00E94C87" w:rsidRPr="001E20CD"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p>
        </w:tc>
      </w:tr>
      <w:tr w:rsidR="00937F19" w:rsidRPr="001E20CD" w:rsidTr="005D67E9">
        <w:trPr>
          <w:trHeight w:val="325"/>
        </w:trPr>
        <w:tc>
          <w:tcPr>
            <w:cnfStyle w:val="001000000000" w:firstRow="0" w:lastRow="0" w:firstColumn="1" w:lastColumn="0" w:oddVBand="0" w:evenVBand="0" w:oddHBand="0" w:evenHBand="0" w:firstRowFirstColumn="0" w:firstRowLastColumn="0" w:lastRowFirstColumn="0" w:lastRowLastColumn="0"/>
            <w:tcW w:w="1455" w:type="dxa"/>
            <w:vMerge/>
          </w:tcPr>
          <w:p w:rsidR="00E94C87" w:rsidRPr="001E20CD" w:rsidRDefault="00E94C87" w:rsidP="00D347DD">
            <w:pPr>
              <w:pStyle w:val="Textoindependiente"/>
            </w:pPr>
          </w:p>
        </w:tc>
        <w:tc>
          <w:tcPr>
            <w:tcW w:w="1976" w:type="dxa"/>
          </w:tcPr>
          <w:p w:rsidR="00E94C87" w:rsidRPr="001E20CD"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rsidRPr="001E20CD">
              <w:t>Mediana</w:t>
            </w:r>
          </w:p>
        </w:tc>
        <w:tc>
          <w:tcPr>
            <w:tcW w:w="2074" w:type="dxa"/>
          </w:tcPr>
          <w:p w:rsidR="00E94C87" w:rsidRPr="001E20CD"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t>63</w:t>
            </w:r>
            <w:r w:rsidR="0049785A">
              <w:t xml:space="preserve"> años</w:t>
            </w:r>
          </w:p>
        </w:tc>
        <w:tc>
          <w:tcPr>
            <w:tcW w:w="1288" w:type="dxa"/>
            <w:vMerge w:val="restart"/>
          </w:tcPr>
          <w:p w:rsidR="00E94C87" w:rsidRPr="001E20CD"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p>
        </w:tc>
      </w:tr>
      <w:tr w:rsidR="00937F19" w:rsidRPr="001E20CD" w:rsidTr="005D67E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455" w:type="dxa"/>
            <w:vMerge/>
          </w:tcPr>
          <w:p w:rsidR="00E94C87" w:rsidRPr="001E20CD" w:rsidRDefault="00E94C87" w:rsidP="00D347DD">
            <w:pPr>
              <w:pStyle w:val="Textoindependiente"/>
            </w:pPr>
          </w:p>
        </w:tc>
        <w:tc>
          <w:tcPr>
            <w:tcW w:w="1976" w:type="dxa"/>
          </w:tcPr>
          <w:p w:rsidR="00E94C87" w:rsidRPr="001E20CD"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t xml:space="preserve">Mínimo </w:t>
            </w:r>
          </w:p>
        </w:tc>
        <w:tc>
          <w:tcPr>
            <w:tcW w:w="2074" w:type="dxa"/>
          </w:tcPr>
          <w:p w:rsidR="00E94C87"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t>37</w:t>
            </w:r>
            <w:r w:rsidR="0049785A">
              <w:t xml:space="preserve"> años</w:t>
            </w:r>
          </w:p>
        </w:tc>
        <w:tc>
          <w:tcPr>
            <w:tcW w:w="1288" w:type="dxa"/>
            <w:vMerge/>
          </w:tcPr>
          <w:p w:rsidR="00E94C87" w:rsidRPr="001E20CD" w:rsidRDefault="00E94C87"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p>
        </w:tc>
      </w:tr>
      <w:tr w:rsidR="00937F19" w:rsidRPr="001E20CD" w:rsidTr="005D67E9">
        <w:trPr>
          <w:trHeight w:val="301"/>
        </w:trPr>
        <w:tc>
          <w:tcPr>
            <w:cnfStyle w:val="001000000000" w:firstRow="0" w:lastRow="0" w:firstColumn="1" w:lastColumn="0" w:oddVBand="0" w:evenVBand="0" w:oddHBand="0" w:evenHBand="0" w:firstRowFirstColumn="0" w:firstRowLastColumn="0" w:lastRowFirstColumn="0" w:lastRowLastColumn="0"/>
            <w:tcW w:w="1455" w:type="dxa"/>
            <w:vMerge/>
          </w:tcPr>
          <w:p w:rsidR="00E94C87" w:rsidRPr="001E20CD" w:rsidRDefault="00E94C87" w:rsidP="00D347DD">
            <w:pPr>
              <w:pStyle w:val="Textoindependiente"/>
            </w:pPr>
          </w:p>
        </w:tc>
        <w:tc>
          <w:tcPr>
            <w:tcW w:w="1976" w:type="dxa"/>
          </w:tcPr>
          <w:p w:rsidR="00E94C87" w:rsidRPr="001E20CD"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t xml:space="preserve">Máximo </w:t>
            </w:r>
          </w:p>
        </w:tc>
        <w:tc>
          <w:tcPr>
            <w:tcW w:w="2074" w:type="dxa"/>
          </w:tcPr>
          <w:p w:rsidR="00E94C87"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t>89</w:t>
            </w:r>
            <w:r w:rsidR="0049785A">
              <w:t xml:space="preserve"> años.</w:t>
            </w:r>
          </w:p>
        </w:tc>
        <w:tc>
          <w:tcPr>
            <w:tcW w:w="1288" w:type="dxa"/>
            <w:vMerge/>
          </w:tcPr>
          <w:p w:rsidR="00E94C87" w:rsidRPr="001E20CD" w:rsidRDefault="00E94C87"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p>
        </w:tc>
      </w:tr>
      <w:tr w:rsidR="00937F19" w:rsidRPr="001E20CD" w:rsidTr="005D67E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55" w:type="dxa"/>
            <w:vMerge w:val="restart"/>
          </w:tcPr>
          <w:p w:rsidR="00D347DD" w:rsidRPr="005D67E9" w:rsidRDefault="00D347DD" w:rsidP="00D347DD">
            <w:pPr>
              <w:pStyle w:val="Textoindependiente"/>
              <w:rPr>
                <w:b/>
                <w:i w:val="0"/>
              </w:rPr>
            </w:pPr>
            <w:r w:rsidRPr="005D67E9">
              <w:rPr>
                <w:b/>
                <w:i w:val="0"/>
              </w:rPr>
              <w:t>Sexo</w:t>
            </w:r>
          </w:p>
        </w:tc>
        <w:tc>
          <w:tcPr>
            <w:tcW w:w="1976" w:type="dxa"/>
          </w:tcPr>
          <w:p w:rsidR="00D347DD" w:rsidRPr="001E20CD" w:rsidRDefault="00D347DD"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rsidRPr="001E20CD">
              <w:t>Masculino</w:t>
            </w:r>
          </w:p>
        </w:tc>
        <w:tc>
          <w:tcPr>
            <w:tcW w:w="2074" w:type="dxa"/>
          </w:tcPr>
          <w:p w:rsidR="00D347DD" w:rsidRPr="001E20CD" w:rsidRDefault="00D347DD"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rsidRPr="001E20CD">
              <w:t>96</w:t>
            </w:r>
          </w:p>
        </w:tc>
        <w:tc>
          <w:tcPr>
            <w:tcW w:w="1288" w:type="dxa"/>
          </w:tcPr>
          <w:p w:rsidR="00D347DD" w:rsidRPr="001E20CD" w:rsidRDefault="00AA4976" w:rsidP="00D347DD">
            <w:pPr>
              <w:pStyle w:val="Textoindependiente"/>
              <w:spacing w:line="240" w:lineRule="auto"/>
              <w:cnfStyle w:val="000000100000" w:firstRow="0" w:lastRow="0" w:firstColumn="0" w:lastColumn="0" w:oddVBand="0" w:evenVBand="0" w:oddHBand="1" w:evenHBand="0" w:firstRowFirstColumn="0" w:firstRowLastColumn="0" w:lastRowFirstColumn="0" w:lastRowLastColumn="0"/>
            </w:pPr>
            <w:r>
              <w:t>53.3</w:t>
            </w:r>
          </w:p>
        </w:tc>
      </w:tr>
      <w:tr w:rsidR="00937F19" w:rsidRPr="001E20CD" w:rsidTr="005D67E9">
        <w:trPr>
          <w:trHeight w:val="26"/>
        </w:trPr>
        <w:tc>
          <w:tcPr>
            <w:cnfStyle w:val="001000000000" w:firstRow="0" w:lastRow="0" w:firstColumn="1" w:lastColumn="0" w:oddVBand="0" w:evenVBand="0" w:oddHBand="0" w:evenHBand="0" w:firstRowFirstColumn="0" w:firstRowLastColumn="0" w:lastRowFirstColumn="0" w:lastRowLastColumn="0"/>
            <w:tcW w:w="1455" w:type="dxa"/>
            <w:vMerge/>
          </w:tcPr>
          <w:p w:rsidR="00D347DD" w:rsidRPr="001E20CD" w:rsidRDefault="00D347DD" w:rsidP="00D347DD">
            <w:pPr>
              <w:pStyle w:val="Textoindependiente"/>
            </w:pPr>
          </w:p>
        </w:tc>
        <w:tc>
          <w:tcPr>
            <w:tcW w:w="1976" w:type="dxa"/>
          </w:tcPr>
          <w:p w:rsidR="00D347DD" w:rsidRPr="001E20CD" w:rsidRDefault="00D347DD"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rsidRPr="001E20CD">
              <w:t>Femenino</w:t>
            </w:r>
          </w:p>
        </w:tc>
        <w:tc>
          <w:tcPr>
            <w:tcW w:w="2074" w:type="dxa"/>
          </w:tcPr>
          <w:p w:rsidR="00D347DD" w:rsidRPr="001E20CD" w:rsidRDefault="00AA4976"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t>84</w:t>
            </w:r>
          </w:p>
        </w:tc>
        <w:tc>
          <w:tcPr>
            <w:tcW w:w="1288" w:type="dxa"/>
          </w:tcPr>
          <w:p w:rsidR="00D347DD" w:rsidRPr="001E20CD" w:rsidRDefault="00AA4976" w:rsidP="00D347DD">
            <w:pPr>
              <w:pStyle w:val="Textoindependiente"/>
              <w:spacing w:line="240" w:lineRule="auto"/>
              <w:cnfStyle w:val="000000000000" w:firstRow="0" w:lastRow="0" w:firstColumn="0" w:lastColumn="0" w:oddVBand="0" w:evenVBand="0" w:oddHBand="0" w:evenHBand="0" w:firstRowFirstColumn="0" w:firstRowLastColumn="0" w:lastRowFirstColumn="0" w:lastRowLastColumn="0"/>
            </w:pPr>
            <w:r>
              <w:t>46,7</w:t>
            </w:r>
          </w:p>
        </w:tc>
      </w:tr>
    </w:tbl>
    <w:p w:rsidR="00D347DD" w:rsidRPr="001E20CD" w:rsidRDefault="00D347DD" w:rsidP="00D347DD">
      <w:pPr>
        <w:spacing w:line="480" w:lineRule="auto"/>
      </w:pPr>
    </w:p>
    <w:p w:rsidR="00D347DD" w:rsidRDefault="00D347DD" w:rsidP="00D347DD">
      <w:pPr>
        <w:spacing w:line="480" w:lineRule="auto"/>
      </w:pPr>
      <w:r w:rsidRPr="001E20CD">
        <w:t>En la tabla 2 se muestra el comportamiento de las características clínicas de la población estudiada. Se evaluó la presencia de factores de riesgo cardiovasculares, teniendo con may</w:t>
      </w:r>
      <w:r w:rsidR="00AA4976">
        <w:t>or frecuencia la HTA con un 78,3</w:t>
      </w:r>
      <w:r w:rsidRPr="001E20CD">
        <w:t>%. Seg</w:t>
      </w:r>
      <w:r w:rsidR="00AA4976">
        <w:t>uidamente estuvo la diabetes mellitus con</w:t>
      </w:r>
      <w:r w:rsidR="002432F5">
        <w:t xml:space="preserve"> un 38,9%, la obesidad con un 33,3% y el hábito de fumar con un 32,8%. </w:t>
      </w:r>
      <w:r w:rsidRPr="001E20CD">
        <w:t>Con</w:t>
      </w:r>
      <w:r w:rsidR="002432F5">
        <w:t xml:space="preserve"> menor porcentaje se manifestó</w:t>
      </w:r>
      <w:r w:rsidR="00AA4976">
        <w:t xml:space="preserve"> la </w:t>
      </w:r>
      <w:proofErr w:type="spellStart"/>
      <w:r w:rsidR="00AA4976">
        <w:t>dislipidem</w:t>
      </w:r>
      <w:r w:rsidR="002432F5">
        <w:t>ia</w:t>
      </w:r>
      <w:proofErr w:type="spellEnd"/>
      <w:r w:rsidR="002432F5">
        <w:t xml:space="preserve"> en la población estudiada en</w:t>
      </w:r>
      <w:r w:rsidR="00AA4976">
        <w:t xml:space="preserve"> un 26,1%</w:t>
      </w:r>
      <w:r w:rsidRPr="001E20CD">
        <w:t>.</w:t>
      </w:r>
    </w:p>
    <w:p w:rsidR="00F0252F" w:rsidRDefault="00F0252F" w:rsidP="00D347DD">
      <w:pPr>
        <w:spacing w:line="480" w:lineRule="auto"/>
      </w:pPr>
      <w:r>
        <w:lastRenderedPageBreak/>
        <w:t>Con respecto a los síntomas prese</w:t>
      </w:r>
      <w:r w:rsidR="00937F19">
        <w:t>ntados en</w:t>
      </w:r>
      <w:r>
        <w:t xml:space="preserve"> los pacientes se evidenció como el 63,9% de los pacientes manifestaron dolor torácico típico</w:t>
      </w:r>
      <w:r w:rsidR="00937F19">
        <w:t>,</w:t>
      </w:r>
      <w:r>
        <w:t xml:space="preserve"> con</w:t>
      </w:r>
      <w:r w:rsidR="008D08E7">
        <w:t xml:space="preserve"> respecto al 36,1% con</w:t>
      </w:r>
      <w:r>
        <w:t xml:space="preserve"> atipicidad</w:t>
      </w:r>
      <w:r w:rsidR="008D08E7">
        <w:t xml:space="preserve"> del dolor</w:t>
      </w:r>
      <w:r>
        <w:t xml:space="preserve"> o equivalentes ang</w:t>
      </w:r>
      <w:r w:rsidR="00581850">
        <w:t>inosos.</w:t>
      </w:r>
    </w:p>
    <w:p w:rsidR="00544F56" w:rsidRDefault="00581850" w:rsidP="00D347DD">
      <w:pPr>
        <w:spacing w:line="480" w:lineRule="auto"/>
      </w:pPr>
      <w:r>
        <w:t xml:space="preserve">El resultado de la prueba </w:t>
      </w:r>
      <w:proofErr w:type="spellStart"/>
      <w:r>
        <w:t>ergométrica</w:t>
      </w:r>
      <w:proofErr w:type="spellEnd"/>
      <w:r>
        <w:t xml:space="preserve"> previa tuvo el siguiente comportamiento. El</w:t>
      </w:r>
      <w:r w:rsidR="008D08E7">
        <w:t xml:space="preserve"> 72,2% de los pacientes tenían</w:t>
      </w:r>
      <w:r>
        <w:t xml:space="preserve"> un resultado positivo sugestivo de isquemia miocárdica en este test diagnóstico</w:t>
      </w:r>
      <w:r w:rsidR="00937F19">
        <w:t>, en cambio el 27,8% tenía</w:t>
      </w:r>
      <w:r>
        <w:t xml:space="preserve"> resultado negativo o no concluyente de isquemia</w:t>
      </w:r>
      <w:r w:rsidR="00713696">
        <w:t>.</w:t>
      </w:r>
      <w:r w:rsidR="00937F19">
        <w:t xml:space="preserve"> (t</w:t>
      </w:r>
      <w:r w:rsidR="008D08E7">
        <w:t>abla 2</w:t>
      </w:r>
      <w:r w:rsidR="00713696">
        <w:t>)</w:t>
      </w:r>
    </w:p>
    <w:p w:rsidR="00D347DD" w:rsidRPr="001E20CD" w:rsidRDefault="00D347DD" w:rsidP="00D347DD">
      <w:pPr>
        <w:spacing w:line="480" w:lineRule="auto"/>
      </w:pPr>
      <w:r w:rsidRPr="001E20CD">
        <w:t>Tabla 2. Distribución de las características clínicas de los pacientes.</w:t>
      </w:r>
    </w:p>
    <w:tbl>
      <w:tblPr>
        <w:tblStyle w:val="Tabladecuadrcula1clara1"/>
        <w:tblW w:w="0" w:type="auto"/>
        <w:jc w:val="center"/>
        <w:tblLook w:val="04A0" w:firstRow="1" w:lastRow="0" w:firstColumn="1" w:lastColumn="0" w:noHBand="0" w:noVBand="1"/>
      </w:tblPr>
      <w:tblGrid>
        <w:gridCol w:w="3227"/>
        <w:gridCol w:w="1455"/>
        <w:gridCol w:w="1238"/>
      </w:tblGrid>
      <w:tr w:rsidR="00D347DD" w:rsidRPr="001E20CD" w:rsidTr="005D67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E5A5B4"/>
          </w:tcPr>
          <w:p w:rsidR="00D347DD" w:rsidRPr="001E20CD" w:rsidRDefault="00D347DD" w:rsidP="00D347DD">
            <w:pPr>
              <w:spacing w:line="480" w:lineRule="auto"/>
              <w:jc w:val="center"/>
            </w:pPr>
            <w:r w:rsidRPr="001E20CD">
              <w:t>Variables</w:t>
            </w:r>
          </w:p>
        </w:tc>
        <w:tc>
          <w:tcPr>
            <w:tcW w:w="1455" w:type="dxa"/>
            <w:shd w:val="clear" w:color="auto" w:fill="E5A5B4"/>
          </w:tcPr>
          <w:p w:rsidR="00D347DD" w:rsidRPr="001E20CD" w:rsidRDefault="00AA4976" w:rsidP="00D347DD">
            <w:pPr>
              <w:spacing w:line="480" w:lineRule="auto"/>
              <w:jc w:val="center"/>
              <w:cnfStyle w:val="100000000000" w:firstRow="1" w:lastRow="0" w:firstColumn="0" w:lastColumn="0" w:oddVBand="0" w:evenVBand="0" w:oddHBand="0" w:evenHBand="0" w:firstRowFirstColumn="0" w:firstRowLastColumn="0" w:lastRowFirstColumn="0" w:lastRowLastColumn="0"/>
            </w:pPr>
            <w:r>
              <w:t>n =180</w:t>
            </w:r>
          </w:p>
        </w:tc>
        <w:tc>
          <w:tcPr>
            <w:tcW w:w="1238" w:type="dxa"/>
            <w:shd w:val="clear" w:color="auto" w:fill="E5A5B4"/>
          </w:tcPr>
          <w:p w:rsidR="00D347DD" w:rsidRPr="001E20CD" w:rsidRDefault="00D347DD" w:rsidP="00D347DD">
            <w:pPr>
              <w:jc w:val="center"/>
              <w:cnfStyle w:val="100000000000" w:firstRow="1" w:lastRow="0" w:firstColumn="0" w:lastColumn="0" w:oddVBand="0" w:evenVBand="0" w:oddHBand="0" w:evenHBand="0" w:firstRowFirstColumn="0" w:firstRowLastColumn="0" w:lastRowFirstColumn="0" w:lastRowLastColumn="0"/>
            </w:pPr>
            <w:r w:rsidRPr="001E20CD">
              <w:t>%</w:t>
            </w:r>
          </w:p>
          <w:p w:rsidR="00D347DD" w:rsidRPr="001E20CD" w:rsidRDefault="00D347DD" w:rsidP="00D347DD">
            <w:pPr>
              <w:spacing w:line="480" w:lineRule="auto"/>
              <w:jc w:val="center"/>
              <w:cnfStyle w:val="100000000000" w:firstRow="1" w:lastRow="0" w:firstColumn="0" w:lastColumn="0" w:oddVBand="0" w:evenVBand="0" w:oddHBand="0" w:evenHBand="0" w:firstRowFirstColumn="0" w:firstRowLastColumn="0" w:lastRowFirstColumn="0" w:lastRowLastColumn="0"/>
            </w:pPr>
          </w:p>
        </w:tc>
      </w:tr>
      <w:tr w:rsidR="00D347D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D347DD" w:rsidRPr="001E20CD" w:rsidRDefault="00D347DD" w:rsidP="00D347DD">
            <w:pPr>
              <w:spacing w:line="480" w:lineRule="auto"/>
              <w:jc w:val="center"/>
            </w:pPr>
            <w:r w:rsidRPr="001E20CD">
              <w:t>HTA</w:t>
            </w:r>
          </w:p>
        </w:tc>
        <w:tc>
          <w:tcPr>
            <w:tcW w:w="1455" w:type="dxa"/>
          </w:tcPr>
          <w:p w:rsidR="00D347DD" w:rsidRPr="001E20CD" w:rsidRDefault="00C80134"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141</w:t>
            </w:r>
          </w:p>
        </w:tc>
        <w:tc>
          <w:tcPr>
            <w:tcW w:w="1238" w:type="dxa"/>
          </w:tcPr>
          <w:p w:rsidR="00D347DD" w:rsidRPr="001E20CD" w:rsidRDefault="00C80134"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78,3</w:t>
            </w:r>
          </w:p>
        </w:tc>
      </w:tr>
      <w:tr w:rsidR="00D347D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D347DD" w:rsidRPr="001E20CD" w:rsidRDefault="00C80134" w:rsidP="00D347DD">
            <w:pPr>
              <w:spacing w:line="480" w:lineRule="auto"/>
              <w:jc w:val="center"/>
            </w:pPr>
            <w:r>
              <w:t>Diabetes Mellitus</w:t>
            </w:r>
          </w:p>
        </w:tc>
        <w:tc>
          <w:tcPr>
            <w:tcW w:w="1455" w:type="dxa"/>
          </w:tcPr>
          <w:p w:rsidR="00D347DD" w:rsidRPr="001E20CD" w:rsidRDefault="00C80134"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70</w:t>
            </w:r>
          </w:p>
        </w:tc>
        <w:tc>
          <w:tcPr>
            <w:tcW w:w="1238" w:type="dxa"/>
          </w:tcPr>
          <w:p w:rsidR="00D347DD" w:rsidRPr="001E20CD" w:rsidRDefault="00C80134"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38,9</w:t>
            </w:r>
          </w:p>
        </w:tc>
      </w:tr>
      <w:tr w:rsidR="00D347D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D347DD" w:rsidRPr="001E20CD" w:rsidRDefault="002432F5" w:rsidP="00D347DD">
            <w:pPr>
              <w:spacing w:line="480" w:lineRule="auto"/>
              <w:jc w:val="center"/>
            </w:pPr>
            <w:r>
              <w:t xml:space="preserve">Obesidad </w:t>
            </w:r>
          </w:p>
        </w:tc>
        <w:tc>
          <w:tcPr>
            <w:tcW w:w="1455" w:type="dxa"/>
          </w:tcPr>
          <w:p w:rsidR="00D347DD" w:rsidRPr="001E20CD" w:rsidRDefault="002432F5"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60</w:t>
            </w:r>
          </w:p>
        </w:tc>
        <w:tc>
          <w:tcPr>
            <w:tcW w:w="1238" w:type="dxa"/>
          </w:tcPr>
          <w:p w:rsidR="00D347DD" w:rsidRPr="001E20CD" w:rsidRDefault="00C40860" w:rsidP="00D347DD">
            <w:pPr>
              <w:spacing w:line="480" w:lineRule="auto"/>
              <w:jc w:val="center"/>
              <w:cnfStyle w:val="000000000000" w:firstRow="0" w:lastRow="0" w:firstColumn="0" w:lastColumn="0" w:oddVBand="0" w:evenVBand="0" w:oddHBand="0" w:evenHBand="0" w:firstRowFirstColumn="0" w:firstRowLastColumn="0" w:lastRowFirstColumn="0" w:lastRowLastColumn="0"/>
            </w:pPr>
            <w:r>
              <w:t>33,3</w:t>
            </w:r>
          </w:p>
        </w:tc>
      </w:tr>
      <w:tr w:rsidR="00C80134"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80134" w:rsidRPr="001E20CD" w:rsidRDefault="002432F5" w:rsidP="00C80134">
            <w:pPr>
              <w:spacing w:line="480" w:lineRule="auto"/>
              <w:jc w:val="center"/>
            </w:pPr>
            <w:r>
              <w:t>Hábito de fumar</w:t>
            </w:r>
          </w:p>
        </w:tc>
        <w:tc>
          <w:tcPr>
            <w:tcW w:w="1455" w:type="dxa"/>
          </w:tcPr>
          <w:p w:rsidR="00C80134" w:rsidRPr="001E20CD" w:rsidRDefault="002432F5"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59</w:t>
            </w:r>
          </w:p>
        </w:tc>
        <w:tc>
          <w:tcPr>
            <w:tcW w:w="1238" w:type="dxa"/>
          </w:tcPr>
          <w:p w:rsidR="00C80134" w:rsidRPr="001E20CD" w:rsidRDefault="00C80134"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32</w:t>
            </w:r>
            <w:r w:rsidRPr="001E20CD">
              <w:t>,8</w:t>
            </w:r>
          </w:p>
        </w:tc>
      </w:tr>
      <w:tr w:rsidR="00C80134"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80134" w:rsidRPr="001E20CD" w:rsidRDefault="00C80134" w:rsidP="00C80134">
            <w:pPr>
              <w:spacing w:line="480" w:lineRule="auto"/>
              <w:jc w:val="center"/>
            </w:pPr>
            <w:proofErr w:type="spellStart"/>
            <w:r>
              <w:t>Dislipidemia</w:t>
            </w:r>
            <w:proofErr w:type="spellEnd"/>
          </w:p>
        </w:tc>
        <w:tc>
          <w:tcPr>
            <w:tcW w:w="1455" w:type="dxa"/>
          </w:tcPr>
          <w:p w:rsidR="00C80134" w:rsidRPr="001E20CD" w:rsidRDefault="00C80134"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47</w:t>
            </w:r>
          </w:p>
        </w:tc>
        <w:tc>
          <w:tcPr>
            <w:tcW w:w="1238" w:type="dxa"/>
          </w:tcPr>
          <w:p w:rsidR="00C80134" w:rsidRPr="001E20CD" w:rsidRDefault="00C80134"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26,1</w:t>
            </w:r>
          </w:p>
        </w:tc>
      </w:tr>
      <w:tr w:rsidR="00C02E3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02E3D" w:rsidRDefault="00C02E3D" w:rsidP="00C80134">
            <w:pPr>
              <w:spacing w:line="480" w:lineRule="auto"/>
              <w:jc w:val="center"/>
            </w:pPr>
            <w:r>
              <w:t xml:space="preserve">Dolor torácico </w:t>
            </w:r>
            <w:r w:rsidR="00F0252F">
              <w:t>típico</w:t>
            </w:r>
          </w:p>
        </w:tc>
        <w:tc>
          <w:tcPr>
            <w:tcW w:w="1455"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115</w:t>
            </w:r>
          </w:p>
        </w:tc>
        <w:tc>
          <w:tcPr>
            <w:tcW w:w="1238"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63,9</w:t>
            </w:r>
          </w:p>
        </w:tc>
      </w:tr>
      <w:tr w:rsidR="00C02E3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02E3D" w:rsidRDefault="00C02E3D" w:rsidP="00C80134">
            <w:pPr>
              <w:spacing w:line="480" w:lineRule="auto"/>
              <w:jc w:val="center"/>
            </w:pPr>
            <w:r>
              <w:t>Dolor torácico atípico</w:t>
            </w:r>
          </w:p>
        </w:tc>
        <w:tc>
          <w:tcPr>
            <w:tcW w:w="1455"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65</w:t>
            </w:r>
          </w:p>
        </w:tc>
        <w:tc>
          <w:tcPr>
            <w:tcW w:w="1238"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36,1</w:t>
            </w:r>
          </w:p>
        </w:tc>
      </w:tr>
      <w:tr w:rsidR="00C02E3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02E3D" w:rsidRDefault="00F0252F" w:rsidP="00C80134">
            <w:pPr>
              <w:spacing w:line="480" w:lineRule="auto"/>
              <w:jc w:val="center"/>
            </w:pPr>
            <w:r>
              <w:t>PEP positiva</w:t>
            </w:r>
          </w:p>
        </w:tc>
        <w:tc>
          <w:tcPr>
            <w:tcW w:w="1455"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130</w:t>
            </w:r>
          </w:p>
        </w:tc>
        <w:tc>
          <w:tcPr>
            <w:tcW w:w="1238"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72,2</w:t>
            </w:r>
          </w:p>
        </w:tc>
      </w:tr>
      <w:tr w:rsidR="00C02E3D" w:rsidRPr="001E20CD" w:rsidTr="00D347DD">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02E3D" w:rsidRDefault="00F0252F" w:rsidP="00C80134">
            <w:pPr>
              <w:spacing w:line="480" w:lineRule="auto"/>
              <w:jc w:val="center"/>
            </w:pPr>
            <w:r>
              <w:t>PEP negativa/dudosa</w:t>
            </w:r>
          </w:p>
        </w:tc>
        <w:tc>
          <w:tcPr>
            <w:tcW w:w="1455"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50</w:t>
            </w:r>
          </w:p>
        </w:tc>
        <w:tc>
          <w:tcPr>
            <w:tcW w:w="1238" w:type="dxa"/>
          </w:tcPr>
          <w:p w:rsidR="00C02E3D" w:rsidRDefault="00F0252F" w:rsidP="00C80134">
            <w:pPr>
              <w:spacing w:line="480" w:lineRule="auto"/>
              <w:jc w:val="center"/>
              <w:cnfStyle w:val="000000000000" w:firstRow="0" w:lastRow="0" w:firstColumn="0" w:lastColumn="0" w:oddVBand="0" w:evenVBand="0" w:oddHBand="0" w:evenHBand="0" w:firstRowFirstColumn="0" w:firstRowLastColumn="0" w:lastRowFirstColumn="0" w:lastRowLastColumn="0"/>
            </w:pPr>
            <w:r>
              <w:t>27,8</w:t>
            </w:r>
          </w:p>
        </w:tc>
      </w:tr>
    </w:tbl>
    <w:p w:rsidR="00D347DD" w:rsidRPr="001E20CD" w:rsidRDefault="00592B02" w:rsidP="00592B02">
      <w:pPr>
        <w:spacing w:line="480" w:lineRule="auto"/>
      </w:pPr>
      <w:r>
        <w:t>En la gammagrafía de perfusión miocárdica para la detección de isquemia se implementó un protocolo de estrés</w:t>
      </w:r>
      <w:r w:rsidRPr="001E20CD">
        <w:t xml:space="preserve">: </w:t>
      </w:r>
      <w:r>
        <w:t>estrés físico y estrés farmacológico.</w:t>
      </w:r>
    </w:p>
    <w:p w:rsidR="00C34488" w:rsidRDefault="00D347DD" w:rsidP="00592B02">
      <w:pPr>
        <w:spacing w:line="480" w:lineRule="auto"/>
      </w:pPr>
      <w:r w:rsidRPr="001E20CD">
        <w:t>En esta investigación</w:t>
      </w:r>
      <w:r w:rsidR="00544F56">
        <w:t xml:space="preserve"> </w:t>
      </w:r>
      <w:r w:rsidR="00592B02">
        <w:t>para realizar la gammagrafía de perfusión miocárdica para la detección de isquemia se implementó un protocolo de estrés</w:t>
      </w:r>
      <w:r w:rsidR="000E2997">
        <w:t xml:space="preserve">. Para el mismo se le practicó el estrés físico a 137 pacientes y estrés farmacológico a 43 pacientes. Como resultado de la ejecución de este protocolo se obtuvo el </w:t>
      </w:r>
      <w:r w:rsidR="00FD2020">
        <w:lastRenderedPageBreak/>
        <w:t>siguiente resultado</w:t>
      </w:r>
      <w:r w:rsidR="000E2997">
        <w:t>:</w:t>
      </w:r>
      <w:r w:rsidR="00773C3F">
        <w:t xml:space="preserve"> a 106 pacientes (58,9%) no se le demostró isquemia</w:t>
      </w:r>
      <w:r w:rsidR="000E2997">
        <w:t xml:space="preserve"> miocárdica</w:t>
      </w:r>
      <w:r w:rsidR="00773C3F">
        <w:t xml:space="preserve"> teniendo un resultado negativo</w:t>
      </w:r>
      <w:r w:rsidR="000E2997">
        <w:t xml:space="preserve"> o nor</w:t>
      </w:r>
      <w:r w:rsidR="00FD2020">
        <w:t>mal en la perfusión miocárdica; constatándose</w:t>
      </w:r>
      <w:r w:rsidR="005F5ACE">
        <w:t xml:space="preserve"> isquemia miocá</w:t>
      </w:r>
      <w:r w:rsidR="006A581E">
        <w:t>rdica a 74 pacientes,</w:t>
      </w:r>
      <w:r w:rsidR="005F5ACE">
        <w:t xml:space="preserve"> representando el 41,1% del total</w:t>
      </w:r>
      <w:r w:rsidR="00713696">
        <w:t>.</w:t>
      </w:r>
      <w:r w:rsidR="00592B02">
        <w:t xml:space="preserve"> (f</w:t>
      </w:r>
      <w:r w:rsidR="006A581E">
        <w:t>igura 1</w:t>
      </w:r>
      <w:r w:rsidR="00713696">
        <w:t>)</w:t>
      </w:r>
    </w:p>
    <w:p w:rsidR="00186BAE" w:rsidRDefault="00186BAE" w:rsidP="00592B02">
      <w:pPr>
        <w:spacing w:line="480" w:lineRule="auto"/>
      </w:pPr>
      <w:r>
        <w:rPr>
          <w:noProof/>
          <w:lang w:val="es-MX" w:eastAsia="es-MX"/>
        </w:rPr>
        <w:drawing>
          <wp:inline distT="0" distB="0" distL="0" distR="0" wp14:anchorId="27620943" wp14:editId="770A0A01">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0C7C" w:rsidRDefault="00592B02" w:rsidP="00B42427">
      <w:pPr>
        <w:autoSpaceDE w:val="0"/>
        <w:autoSpaceDN w:val="0"/>
        <w:adjustRightInd w:val="0"/>
        <w:spacing w:line="480" w:lineRule="auto"/>
      </w:pPr>
      <w:r>
        <w:t>Con el estrés físico,</w:t>
      </w:r>
      <w:r w:rsidR="00E47CFB">
        <w:t xml:space="preserve"> mediante el ejercicio físico</w:t>
      </w:r>
      <w:r>
        <w:t xml:space="preserve"> se le d</w:t>
      </w:r>
      <w:r w:rsidR="00F50B84">
        <w:t>emostró isquemia miocárdica</w:t>
      </w:r>
      <w:r>
        <w:t xml:space="preserve"> al 38,7%, siendo los estudios negativos</w:t>
      </w:r>
      <w:r w:rsidR="00F50B84">
        <w:t xml:space="preserve"> en</w:t>
      </w:r>
      <w:r>
        <w:t xml:space="preserve"> el 61,3%</w:t>
      </w:r>
      <w:r w:rsidR="00E47CFB">
        <w:t>.</w:t>
      </w:r>
      <w:r>
        <w:t xml:space="preserve"> Mediante</w:t>
      </w:r>
      <w:r w:rsidR="006A581E">
        <w:t xml:space="preserve"> el</w:t>
      </w:r>
      <w:r w:rsidR="00E47CFB">
        <w:t xml:space="preserve"> estrés farmacológico</w:t>
      </w:r>
      <w:r>
        <w:t xml:space="preserve">, </w:t>
      </w:r>
      <w:r w:rsidR="00713696">
        <w:t xml:space="preserve">se le demostró isquemia solo al 48,8%. </w:t>
      </w:r>
      <w:r w:rsidR="00C34488">
        <w:t>(tabla 3)</w:t>
      </w:r>
      <w:r w:rsidR="00E47CFB">
        <w:t xml:space="preserve"> </w:t>
      </w:r>
    </w:p>
    <w:p w:rsidR="00D77FF0" w:rsidRDefault="00410C7C" w:rsidP="00410C7C">
      <w:pPr>
        <w:autoSpaceDE w:val="0"/>
        <w:autoSpaceDN w:val="0"/>
        <w:adjustRightInd w:val="0"/>
        <w:spacing w:line="480" w:lineRule="auto"/>
        <w:rPr>
          <w:lang w:eastAsia="es-ES"/>
        </w:rPr>
      </w:pPr>
      <w:r>
        <w:rPr>
          <w:lang w:eastAsia="es-ES"/>
        </w:rPr>
        <w:t>En el análisis estadístico de estas variables obtuvimos un OR: 1,198; 95%; IC: 0,869-1,652; p&lt;012. Por lo que entre ambas variables no hay una relación significativa.</w:t>
      </w:r>
    </w:p>
    <w:p w:rsidR="00410C7C" w:rsidRDefault="00410C7C" w:rsidP="00410C7C">
      <w:pPr>
        <w:autoSpaceDE w:val="0"/>
        <w:autoSpaceDN w:val="0"/>
        <w:adjustRightInd w:val="0"/>
        <w:spacing w:line="480" w:lineRule="auto"/>
        <w:rPr>
          <w:lang w:eastAsia="es-ES"/>
        </w:rPr>
      </w:pPr>
    </w:p>
    <w:p w:rsidR="00410C7C" w:rsidRDefault="00410C7C" w:rsidP="00410C7C">
      <w:pPr>
        <w:autoSpaceDE w:val="0"/>
        <w:autoSpaceDN w:val="0"/>
        <w:adjustRightInd w:val="0"/>
        <w:spacing w:line="480" w:lineRule="auto"/>
        <w:rPr>
          <w:lang w:eastAsia="es-ES"/>
        </w:rPr>
      </w:pPr>
    </w:p>
    <w:p w:rsidR="00410C7C" w:rsidRDefault="00410C7C" w:rsidP="00410C7C">
      <w:pPr>
        <w:autoSpaceDE w:val="0"/>
        <w:autoSpaceDN w:val="0"/>
        <w:adjustRightInd w:val="0"/>
        <w:spacing w:line="480" w:lineRule="auto"/>
        <w:rPr>
          <w:lang w:eastAsia="es-ES"/>
        </w:rPr>
      </w:pPr>
    </w:p>
    <w:p w:rsidR="00410C7C" w:rsidRDefault="00410C7C" w:rsidP="00410C7C">
      <w:pPr>
        <w:autoSpaceDE w:val="0"/>
        <w:autoSpaceDN w:val="0"/>
        <w:adjustRightInd w:val="0"/>
        <w:spacing w:line="480" w:lineRule="auto"/>
        <w:rPr>
          <w:lang w:eastAsia="es-ES"/>
        </w:rPr>
      </w:pPr>
    </w:p>
    <w:p w:rsidR="00410C7C" w:rsidRPr="001E20CD" w:rsidRDefault="00410C7C" w:rsidP="00410C7C">
      <w:pPr>
        <w:autoSpaceDE w:val="0"/>
        <w:autoSpaceDN w:val="0"/>
        <w:adjustRightInd w:val="0"/>
        <w:spacing w:line="480" w:lineRule="auto"/>
        <w:rPr>
          <w:lang w:eastAsia="es-ES"/>
        </w:rPr>
      </w:pPr>
    </w:p>
    <w:p w:rsidR="00C34488" w:rsidRPr="001E20CD" w:rsidRDefault="00C34488" w:rsidP="00713696">
      <w:pPr>
        <w:spacing w:line="480" w:lineRule="auto"/>
        <w:rPr>
          <w:lang w:eastAsia="es-ES"/>
        </w:rPr>
      </w:pPr>
      <w:r>
        <w:rPr>
          <w:lang w:eastAsia="es-ES"/>
        </w:rPr>
        <w:lastRenderedPageBreak/>
        <w:t>Tabla 3. Resultado</w:t>
      </w:r>
      <w:r w:rsidR="007C2AA7">
        <w:rPr>
          <w:lang w:eastAsia="es-ES"/>
        </w:rPr>
        <w:t>s</w:t>
      </w:r>
      <w:r>
        <w:rPr>
          <w:lang w:eastAsia="es-ES"/>
        </w:rPr>
        <w:t xml:space="preserve"> de la GPM para la detección de isquemia según el protocolo</w:t>
      </w:r>
      <w:r w:rsidRPr="001E20CD">
        <w:rPr>
          <w:lang w:eastAsia="es-ES"/>
        </w:rPr>
        <w:t xml:space="preserve"> empleado.</w:t>
      </w:r>
    </w:p>
    <w:tbl>
      <w:tblPr>
        <w:tblStyle w:val="Cuadrculadetablaclara1"/>
        <w:tblW w:w="93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2711"/>
        <w:gridCol w:w="2030"/>
        <w:gridCol w:w="1729"/>
      </w:tblGrid>
      <w:tr w:rsidR="00C34488" w:rsidRPr="001E20CD" w:rsidTr="005D67E9">
        <w:trPr>
          <w:trHeight w:val="635"/>
          <w:jc w:val="center"/>
        </w:trPr>
        <w:tc>
          <w:tcPr>
            <w:tcW w:w="2830" w:type="dxa"/>
            <w:vMerge w:val="restart"/>
            <w:shd w:val="clear" w:color="auto" w:fill="E5A5B4"/>
          </w:tcPr>
          <w:p w:rsidR="00C34488" w:rsidRDefault="00C34488" w:rsidP="0017310E">
            <w:pPr>
              <w:spacing w:line="480" w:lineRule="auto"/>
              <w:jc w:val="center"/>
              <w:rPr>
                <w:b/>
              </w:rPr>
            </w:pPr>
            <w:r>
              <w:rPr>
                <w:b/>
              </w:rPr>
              <w:t>Protocolo</w:t>
            </w:r>
          </w:p>
          <w:p w:rsidR="0017310E" w:rsidRPr="001E20CD" w:rsidRDefault="0017310E" w:rsidP="0017310E">
            <w:pPr>
              <w:spacing w:line="480" w:lineRule="auto"/>
              <w:jc w:val="center"/>
              <w:rPr>
                <w:b/>
              </w:rPr>
            </w:pPr>
            <w:r w:rsidRPr="001E20CD">
              <w:rPr>
                <w:b/>
              </w:rPr>
              <w:t>Detección de isquemia</w:t>
            </w:r>
          </w:p>
        </w:tc>
        <w:tc>
          <w:tcPr>
            <w:tcW w:w="4741" w:type="dxa"/>
            <w:gridSpan w:val="2"/>
            <w:shd w:val="clear" w:color="auto" w:fill="E5A5B4"/>
          </w:tcPr>
          <w:p w:rsidR="00C34488" w:rsidRPr="001E20CD" w:rsidRDefault="00C34488" w:rsidP="00713696">
            <w:pPr>
              <w:spacing w:line="480" w:lineRule="auto"/>
              <w:jc w:val="center"/>
              <w:rPr>
                <w:b/>
              </w:rPr>
            </w:pPr>
            <w:r w:rsidRPr="001E20CD">
              <w:rPr>
                <w:b/>
              </w:rPr>
              <w:t>Gammagrafía de perfusión miocárdica</w:t>
            </w:r>
          </w:p>
        </w:tc>
        <w:tc>
          <w:tcPr>
            <w:tcW w:w="1729" w:type="dxa"/>
            <w:vMerge w:val="restart"/>
            <w:shd w:val="clear" w:color="auto" w:fill="E5A5B4"/>
          </w:tcPr>
          <w:p w:rsidR="00C34488" w:rsidRPr="001E20CD" w:rsidRDefault="00C34488" w:rsidP="00EA308D">
            <w:pPr>
              <w:spacing w:line="480" w:lineRule="auto"/>
              <w:jc w:val="center"/>
              <w:rPr>
                <w:b/>
              </w:rPr>
            </w:pPr>
          </w:p>
          <w:p w:rsidR="00C34488" w:rsidRPr="001E20CD" w:rsidRDefault="00C34488" w:rsidP="00EA308D">
            <w:pPr>
              <w:spacing w:line="480" w:lineRule="auto"/>
              <w:jc w:val="center"/>
              <w:rPr>
                <w:b/>
              </w:rPr>
            </w:pPr>
            <w:r w:rsidRPr="001E20CD">
              <w:rPr>
                <w:b/>
              </w:rPr>
              <w:t>Total</w:t>
            </w:r>
          </w:p>
          <w:p w:rsidR="00C34488" w:rsidRPr="005D67E9" w:rsidRDefault="0017310E" w:rsidP="00EA308D">
            <w:pPr>
              <w:spacing w:line="480" w:lineRule="auto"/>
              <w:jc w:val="center"/>
            </w:pPr>
            <w:r w:rsidRPr="005D67E9">
              <w:t>n=180</w:t>
            </w:r>
            <w:r w:rsidR="00186BAE" w:rsidRPr="005D67E9">
              <w:t>(</w:t>
            </w:r>
            <w:r w:rsidR="00C34488" w:rsidRPr="005D67E9">
              <w:t>%)</w:t>
            </w:r>
          </w:p>
        </w:tc>
      </w:tr>
      <w:tr w:rsidR="00C34488" w:rsidRPr="001E20CD" w:rsidTr="005D67E9">
        <w:trPr>
          <w:trHeight w:val="735"/>
          <w:jc w:val="center"/>
        </w:trPr>
        <w:tc>
          <w:tcPr>
            <w:tcW w:w="2830" w:type="dxa"/>
            <w:vMerge/>
            <w:shd w:val="clear" w:color="auto" w:fill="E5A5B4"/>
          </w:tcPr>
          <w:p w:rsidR="00C34488" w:rsidRPr="001E20CD" w:rsidRDefault="00C34488" w:rsidP="00EA308D">
            <w:pPr>
              <w:spacing w:line="480" w:lineRule="auto"/>
              <w:jc w:val="center"/>
            </w:pPr>
          </w:p>
        </w:tc>
        <w:tc>
          <w:tcPr>
            <w:tcW w:w="2711" w:type="dxa"/>
            <w:shd w:val="clear" w:color="auto" w:fill="E5A5B4"/>
          </w:tcPr>
          <w:p w:rsidR="00C34488" w:rsidRPr="001E20CD" w:rsidRDefault="00C34488" w:rsidP="00EA308D">
            <w:pPr>
              <w:spacing w:line="480" w:lineRule="auto"/>
              <w:jc w:val="center"/>
              <w:rPr>
                <w:b/>
              </w:rPr>
            </w:pPr>
            <w:r w:rsidRPr="001E20CD">
              <w:rPr>
                <w:b/>
              </w:rPr>
              <w:t>Positiva</w:t>
            </w:r>
          </w:p>
          <w:p w:rsidR="00C34488" w:rsidRPr="005D67E9" w:rsidRDefault="0017310E" w:rsidP="00EA308D">
            <w:pPr>
              <w:spacing w:line="480" w:lineRule="auto"/>
              <w:jc w:val="center"/>
            </w:pPr>
            <w:r w:rsidRPr="005D67E9">
              <w:t>n=74</w:t>
            </w:r>
            <w:r w:rsidR="00C34488" w:rsidRPr="005D67E9">
              <w:t>(%)</w:t>
            </w:r>
          </w:p>
        </w:tc>
        <w:tc>
          <w:tcPr>
            <w:tcW w:w="2030" w:type="dxa"/>
            <w:shd w:val="clear" w:color="auto" w:fill="E5A5B4"/>
          </w:tcPr>
          <w:p w:rsidR="00C34488" w:rsidRPr="001E20CD" w:rsidRDefault="00C34488" w:rsidP="00EA308D">
            <w:pPr>
              <w:spacing w:line="480" w:lineRule="auto"/>
              <w:jc w:val="center"/>
              <w:rPr>
                <w:b/>
              </w:rPr>
            </w:pPr>
            <w:r w:rsidRPr="001E20CD">
              <w:rPr>
                <w:b/>
              </w:rPr>
              <w:t>Negativa</w:t>
            </w:r>
          </w:p>
          <w:p w:rsidR="00C34488" w:rsidRPr="005D67E9" w:rsidRDefault="00186BAE" w:rsidP="00EA308D">
            <w:pPr>
              <w:spacing w:line="480" w:lineRule="auto"/>
              <w:jc w:val="center"/>
            </w:pPr>
            <w:r w:rsidRPr="005D67E9">
              <w:t>n=106(</w:t>
            </w:r>
            <w:r w:rsidR="00C34488" w:rsidRPr="005D67E9">
              <w:t>%)</w:t>
            </w:r>
          </w:p>
        </w:tc>
        <w:tc>
          <w:tcPr>
            <w:tcW w:w="1729" w:type="dxa"/>
            <w:vMerge/>
          </w:tcPr>
          <w:p w:rsidR="00C34488" w:rsidRPr="001E20CD" w:rsidRDefault="00C34488" w:rsidP="00EA308D">
            <w:pPr>
              <w:spacing w:line="480" w:lineRule="auto"/>
              <w:jc w:val="center"/>
            </w:pPr>
          </w:p>
        </w:tc>
      </w:tr>
      <w:tr w:rsidR="00C34488" w:rsidRPr="001E20CD" w:rsidTr="005D67E9">
        <w:trPr>
          <w:trHeight w:val="496"/>
          <w:jc w:val="center"/>
        </w:trPr>
        <w:tc>
          <w:tcPr>
            <w:tcW w:w="2830" w:type="dxa"/>
            <w:shd w:val="clear" w:color="auto" w:fill="FFFFFF" w:themeFill="background1"/>
          </w:tcPr>
          <w:p w:rsidR="00C34488" w:rsidRPr="001E20CD" w:rsidRDefault="00C34488" w:rsidP="00EA308D">
            <w:pPr>
              <w:spacing w:line="480" w:lineRule="auto"/>
              <w:jc w:val="center"/>
            </w:pPr>
            <w:r w:rsidRPr="001E20CD">
              <w:t>Estrés físico</w:t>
            </w:r>
          </w:p>
        </w:tc>
        <w:tc>
          <w:tcPr>
            <w:tcW w:w="2711" w:type="dxa"/>
          </w:tcPr>
          <w:p w:rsidR="00C34488" w:rsidRPr="001E20CD" w:rsidRDefault="00713696" w:rsidP="00EA308D">
            <w:pPr>
              <w:spacing w:line="480" w:lineRule="auto"/>
              <w:jc w:val="center"/>
            </w:pPr>
            <w:r>
              <w:t>53(38,7</w:t>
            </w:r>
            <w:r w:rsidR="00C34488" w:rsidRPr="001E20CD">
              <w:t>)</w:t>
            </w:r>
          </w:p>
        </w:tc>
        <w:tc>
          <w:tcPr>
            <w:tcW w:w="2030" w:type="dxa"/>
          </w:tcPr>
          <w:p w:rsidR="00C34488" w:rsidRPr="001E20CD" w:rsidRDefault="00713696" w:rsidP="00EA308D">
            <w:pPr>
              <w:spacing w:line="480" w:lineRule="auto"/>
              <w:jc w:val="center"/>
            </w:pPr>
            <w:r>
              <w:t>84(61,3</w:t>
            </w:r>
            <w:r w:rsidR="00C34488" w:rsidRPr="001E20CD">
              <w:t>)</w:t>
            </w:r>
          </w:p>
        </w:tc>
        <w:tc>
          <w:tcPr>
            <w:tcW w:w="1729" w:type="dxa"/>
          </w:tcPr>
          <w:p w:rsidR="00C34488" w:rsidRPr="001E20CD" w:rsidRDefault="00713696" w:rsidP="00EA308D">
            <w:pPr>
              <w:spacing w:line="480" w:lineRule="auto"/>
              <w:jc w:val="center"/>
            </w:pPr>
            <w:r>
              <w:t>137(100</w:t>
            </w:r>
            <w:r w:rsidR="00C34488" w:rsidRPr="001E20CD">
              <w:t>)</w:t>
            </w:r>
          </w:p>
        </w:tc>
      </w:tr>
      <w:tr w:rsidR="00C34488" w:rsidRPr="001E20CD" w:rsidTr="005D67E9">
        <w:trPr>
          <w:trHeight w:val="496"/>
          <w:jc w:val="center"/>
        </w:trPr>
        <w:tc>
          <w:tcPr>
            <w:tcW w:w="2830" w:type="dxa"/>
            <w:shd w:val="clear" w:color="auto" w:fill="FFFFFF" w:themeFill="background1"/>
          </w:tcPr>
          <w:p w:rsidR="00C34488" w:rsidRPr="001E20CD" w:rsidRDefault="00C34488" w:rsidP="00EA308D">
            <w:pPr>
              <w:spacing w:line="480" w:lineRule="auto"/>
              <w:jc w:val="center"/>
            </w:pPr>
            <w:r w:rsidRPr="001E20CD">
              <w:t>Estrés farmacológico</w:t>
            </w:r>
          </w:p>
        </w:tc>
        <w:tc>
          <w:tcPr>
            <w:tcW w:w="2711" w:type="dxa"/>
          </w:tcPr>
          <w:p w:rsidR="00C34488" w:rsidRPr="001E20CD" w:rsidRDefault="00713696" w:rsidP="00EA308D">
            <w:pPr>
              <w:spacing w:line="480" w:lineRule="auto"/>
              <w:jc w:val="center"/>
            </w:pPr>
            <w:r>
              <w:t>21(48,8</w:t>
            </w:r>
            <w:r w:rsidR="00C34488" w:rsidRPr="001E20CD">
              <w:t>)</w:t>
            </w:r>
          </w:p>
        </w:tc>
        <w:tc>
          <w:tcPr>
            <w:tcW w:w="2030" w:type="dxa"/>
          </w:tcPr>
          <w:p w:rsidR="00C34488" w:rsidRPr="001E20CD" w:rsidRDefault="00713696" w:rsidP="00EA308D">
            <w:pPr>
              <w:spacing w:line="480" w:lineRule="auto"/>
              <w:jc w:val="center"/>
            </w:pPr>
            <w:r>
              <w:t>22(51,2</w:t>
            </w:r>
            <w:r w:rsidR="00C34488" w:rsidRPr="001E20CD">
              <w:t>)</w:t>
            </w:r>
          </w:p>
        </w:tc>
        <w:tc>
          <w:tcPr>
            <w:tcW w:w="1729" w:type="dxa"/>
          </w:tcPr>
          <w:p w:rsidR="00C34488" w:rsidRPr="001E20CD" w:rsidRDefault="00713696" w:rsidP="00EA308D">
            <w:pPr>
              <w:spacing w:line="480" w:lineRule="auto"/>
              <w:jc w:val="center"/>
            </w:pPr>
            <w:r>
              <w:t>43(100</w:t>
            </w:r>
            <w:r w:rsidR="00C34488" w:rsidRPr="001E20CD">
              <w:t>)</w:t>
            </w:r>
          </w:p>
        </w:tc>
      </w:tr>
    </w:tbl>
    <w:p w:rsidR="00D77FF0" w:rsidRDefault="00D77FF0" w:rsidP="0017310E">
      <w:pPr>
        <w:tabs>
          <w:tab w:val="clear" w:pos="8640"/>
          <w:tab w:val="left" w:pos="2370"/>
        </w:tabs>
        <w:autoSpaceDE w:val="0"/>
        <w:autoSpaceDN w:val="0"/>
        <w:adjustRightInd w:val="0"/>
        <w:spacing w:line="480" w:lineRule="auto"/>
      </w:pPr>
    </w:p>
    <w:p w:rsidR="007879B0" w:rsidRDefault="00D347DD" w:rsidP="0017310E">
      <w:pPr>
        <w:tabs>
          <w:tab w:val="clear" w:pos="8640"/>
          <w:tab w:val="left" w:pos="2370"/>
        </w:tabs>
        <w:autoSpaceDE w:val="0"/>
        <w:autoSpaceDN w:val="0"/>
        <w:adjustRightInd w:val="0"/>
        <w:spacing w:line="480" w:lineRule="auto"/>
      </w:pPr>
      <w:r w:rsidRPr="001E20CD">
        <w:t>Se diferenciar</w:t>
      </w:r>
      <w:r>
        <w:t>o</w:t>
      </w:r>
      <w:r w:rsidR="00F50B84">
        <w:t>n los pacientes en dos grupos: perfusión miocárdica (PM)</w:t>
      </w:r>
      <w:r>
        <w:t xml:space="preserve"> positiva y </w:t>
      </w:r>
      <w:r w:rsidR="00F50B84">
        <w:t>negativa. S</w:t>
      </w:r>
      <w:r w:rsidRPr="001E20CD">
        <w:t>e</w:t>
      </w:r>
      <w:r w:rsidR="00F50B84">
        <w:t xml:space="preserve"> relacionan</w:t>
      </w:r>
      <w:r w:rsidRPr="001E20CD">
        <w:t xml:space="preserve"> como se comportó las cara</w:t>
      </w:r>
      <w:r w:rsidR="00027A3B">
        <w:t>cterísticas del dolor torácico</w:t>
      </w:r>
      <w:r w:rsidRPr="001E20CD">
        <w:t xml:space="preserve"> y la prueba de esfuerzo </w:t>
      </w:r>
      <w:r w:rsidR="0017310E">
        <w:t xml:space="preserve">previa </w:t>
      </w:r>
      <w:r w:rsidRPr="001E20CD">
        <w:t>en cada uno de ellos.</w:t>
      </w:r>
    </w:p>
    <w:p w:rsidR="007879B0" w:rsidRPr="001E20CD" w:rsidRDefault="007879B0" w:rsidP="007879B0">
      <w:pPr>
        <w:spacing w:line="480" w:lineRule="auto"/>
      </w:pPr>
      <w:r w:rsidRPr="001E20CD">
        <w:rPr>
          <w:lang w:eastAsia="es-ES"/>
        </w:rPr>
        <w:t>Tabla 3. Características del dolor torácico según el resultado de la GPM.</w:t>
      </w:r>
    </w:p>
    <w:tbl>
      <w:tblPr>
        <w:tblStyle w:val="Tabladecuadrcula1clara1"/>
        <w:tblW w:w="0" w:type="auto"/>
        <w:tblLook w:val="04A0" w:firstRow="1" w:lastRow="0" w:firstColumn="1" w:lastColumn="0" w:noHBand="0" w:noVBand="1"/>
      </w:tblPr>
      <w:tblGrid>
        <w:gridCol w:w="1846"/>
        <w:gridCol w:w="1949"/>
        <w:gridCol w:w="2171"/>
        <w:gridCol w:w="2245"/>
      </w:tblGrid>
      <w:tr w:rsidR="007C2AA7" w:rsidRPr="001E20CD" w:rsidTr="005D67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46" w:type="dxa"/>
            <w:vMerge w:val="restart"/>
            <w:shd w:val="clear" w:color="auto" w:fill="E5A5B4"/>
          </w:tcPr>
          <w:p w:rsidR="007C2AA7" w:rsidRPr="001E20CD" w:rsidRDefault="007C2AA7" w:rsidP="007C2AA7">
            <w:pPr>
              <w:spacing w:line="480" w:lineRule="auto"/>
              <w:jc w:val="center"/>
              <w:rPr>
                <w:b w:val="0"/>
              </w:rPr>
            </w:pPr>
            <w:r w:rsidRPr="001E20CD">
              <w:t>Dolor torácico</w:t>
            </w:r>
          </w:p>
        </w:tc>
        <w:tc>
          <w:tcPr>
            <w:tcW w:w="6365" w:type="dxa"/>
            <w:gridSpan w:val="3"/>
            <w:shd w:val="clear" w:color="auto" w:fill="E5A5B4"/>
          </w:tcPr>
          <w:p w:rsidR="007C2AA7" w:rsidRPr="007C2AA7" w:rsidRDefault="007C2AA7" w:rsidP="007C2AA7">
            <w:pPr>
              <w:spacing w:line="480" w:lineRule="auto"/>
              <w:jc w:val="center"/>
              <w:cnfStyle w:val="100000000000" w:firstRow="1" w:lastRow="0" w:firstColumn="0" w:lastColumn="0" w:oddVBand="0" w:evenVBand="0" w:oddHBand="0" w:evenHBand="0" w:firstRowFirstColumn="0" w:firstRowLastColumn="0" w:lastRowFirstColumn="0" w:lastRowLastColumn="0"/>
            </w:pPr>
            <w:r w:rsidRPr="007C2AA7">
              <w:t>Gammagrafía de perfusión miocárdica</w:t>
            </w:r>
          </w:p>
        </w:tc>
      </w:tr>
      <w:tr w:rsidR="007C2AA7" w:rsidRPr="001E20CD" w:rsidTr="005D67E9">
        <w:trPr>
          <w:trHeight w:val="270"/>
        </w:trPr>
        <w:tc>
          <w:tcPr>
            <w:cnfStyle w:val="001000000000" w:firstRow="0" w:lastRow="0" w:firstColumn="1" w:lastColumn="0" w:oddVBand="0" w:evenVBand="0" w:oddHBand="0" w:evenHBand="0" w:firstRowFirstColumn="0" w:firstRowLastColumn="0" w:lastRowFirstColumn="0" w:lastRowLastColumn="0"/>
            <w:tcW w:w="1846" w:type="dxa"/>
            <w:vMerge/>
            <w:shd w:val="clear" w:color="auto" w:fill="E5A5B4"/>
          </w:tcPr>
          <w:p w:rsidR="007C2AA7" w:rsidRPr="001E20CD" w:rsidRDefault="007C2AA7" w:rsidP="007C2AA7">
            <w:pPr>
              <w:spacing w:line="480" w:lineRule="auto"/>
              <w:jc w:val="center"/>
            </w:pPr>
          </w:p>
        </w:tc>
        <w:tc>
          <w:tcPr>
            <w:tcW w:w="1949" w:type="dxa"/>
            <w:shd w:val="clear" w:color="auto" w:fill="E5A5B4"/>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1E20CD">
              <w:rPr>
                <w:b/>
              </w:rPr>
              <w:t>Positiva n</w:t>
            </w:r>
            <w:r>
              <w:rPr>
                <w:b/>
              </w:rPr>
              <w:t xml:space="preserve"> </w:t>
            </w:r>
            <w:r w:rsidRPr="001E20CD">
              <w:rPr>
                <w:b/>
              </w:rPr>
              <w:t>(%)</w:t>
            </w:r>
          </w:p>
        </w:tc>
        <w:tc>
          <w:tcPr>
            <w:tcW w:w="2171" w:type="dxa"/>
            <w:shd w:val="clear" w:color="auto" w:fill="E5A5B4"/>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1E20CD">
              <w:rPr>
                <w:b/>
              </w:rPr>
              <w:t>Negativa n</w:t>
            </w:r>
            <w:r>
              <w:rPr>
                <w:b/>
              </w:rPr>
              <w:t xml:space="preserve"> </w:t>
            </w:r>
            <w:r w:rsidRPr="001E20CD">
              <w:rPr>
                <w:b/>
              </w:rPr>
              <w:t>(%)</w:t>
            </w:r>
          </w:p>
        </w:tc>
        <w:tc>
          <w:tcPr>
            <w:tcW w:w="2245" w:type="dxa"/>
            <w:shd w:val="clear" w:color="auto" w:fill="E5A5B4"/>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1E20CD">
              <w:rPr>
                <w:b/>
              </w:rPr>
              <w:t>Total n</w:t>
            </w:r>
            <w:r>
              <w:rPr>
                <w:b/>
              </w:rPr>
              <w:t xml:space="preserve"> </w:t>
            </w:r>
            <w:r w:rsidRPr="001E20CD">
              <w:rPr>
                <w:b/>
              </w:rPr>
              <w:t>(%)</w:t>
            </w:r>
          </w:p>
        </w:tc>
      </w:tr>
      <w:tr w:rsidR="007C2AA7" w:rsidRPr="001E20CD" w:rsidTr="00F50B84">
        <w:tc>
          <w:tcPr>
            <w:cnfStyle w:val="001000000000" w:firstRow="0" w:lastRow="0" w:firstColumn="1" w:lastColumn="0" w:oddVBand="0" w:evenVBand="0" w:oddHBand="0" w:evenHBand="0" w:firstRowFirstColumn="0" w:firstRowLastColumn="0" w:lastRowFirstColumn="0" w:lastRowLastColumn="0"/>
            <w:tcW w:w="1846" w:type="dxa"/>
            <w:shd w:val="clear" w:color="auto" w:fill="FFFFFF" w:themeFill="background1"/>
          </w:tcPr>
          <w:p w:rsidR="007C2AA7" w:rsidRPr="001E20CD" w:rsidRDefault="007C2AA7" w:rsidP="007C2AA7">
            <w:pPr>
              <w:spacing w:line="480" w:lineRule="auto"/>
              <w:jc w:val="center"/>
              <w:rPr>
                <w:b w:val="0"/>
              </w:rPr>
            </w:pPr>
            <w:r w:rsidRPr="001E20CD">
              <w:t>Típico</w:t>
            </w:r>
          </w:p>
        </w:tc>
        <w:tc>
          <w:tcPr>
            <w:tcW w:w="1949"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50(43,5</w:t>
            </w:r>
            <w:r w:rsidRPr="001E20CD">
              <w:t>)</w:t>
            </w:r>
          </w:p>
        </w:tc>
        <w:tc>
          <w:tcPr>
            <w:tcW w:w="2171"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65(56,5</w:t>
            </w:r>
            <w:r w:rsidRPr="001E20CD">
              <w:t>)</w:t>
            </w:r>
          </w:p>
        </w:tc>
        <w:tc>
          <w:tcPr>
            <w:tcW w:w="2245" w:type="dxa"/>
          </w:tcPr>
          <w:p w:rsidR="007C2AA7" w:rsidRPr="001E20CD" w:rsidRDefault="007C2AA7" w:rsidP="007C2AA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pPr>
            <w:r>
              <w:t>115(100</w:t>
            </w:r>
            <w:r w:rsidRPr="001E20CD">
              <w:t>)</w:t>
            </w:r>
          </w:p>
        </w:tc>
      </w:tr>
      <w:tr w:rsidR="007C2AA7" w:rsidRPr="001E20CD" w:rsidTr="00F50B84">
        <w:tc>
          <w:tcPr>
            <w:cnfStyle w:val="001000000000" w:firstRow="0" w:lastRow="0" w:firstColumn="1" w:lastColumn="0" w:oddVBand="0" w:evenVBand="0" w:oddHBand="0" w:evenHBand="0" w:firstRowFirstColumn="0" w:firstRowLastColumn="0" w:lastRowFirstColumn="0" w:lastRowLastColumn="0"/>
            <w:tcW w:w="1846" w:type="dxa"/>
            <w:shd w:val="clear" w:color="auto" w:fill="FFFFFF" w:themeFill="background1"/>
          </w:tcPr>
          <w:p w:rsidR="007C2AA7" w:rsidRPr="001E20CD" w:rsidRDefault="007C2AA7" w:rsidP="007C2AA7">
            <w:pPr>
              <w:spacing w:line="480" w:lineRule="auto"/>
              <w:jc w:val="center"/>
              <w:rPr>
                <w:b w:val="0"/>
              </w:rPr>
            </w:pPr>
            <w:r w:rsidRPr="001E20CD">
              <w:t>Atípico</w:t>
            </w:r>
          </w:p>
        </w:tc>
        <w:tc>
          <w:tcPr>
            <w:tcW w:w="1949"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24(36,9</w:t>
            </w:r>
            <w:r w:rsidRPr="001E20CD">
              <w:t>)</w:t>
            </w:r>
          </w:p>
        </w:tc>
        <w:tc>
          <w:tcPr>
            <w:tcW w:w="2171"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41(63,1</w:t>
            </w:r>
            <w:r w:rsidRPr="001E20CD">
              <w:t>)</w:t>
            </w:r>
          </w:p>
        </w:tc>
        <w:tc>
          <w:tcPr>
            <w:tcW w:w="2245" w:type="dxa"/>
          </w:tcPr>
          <w:p w:rsidR="007C2AA7" w:rsidRPr="001E20CD" w:rsidRDefault="007C2AA7" w:rsidP="007C2AA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pPr>
            <w:r>
              <w:t>65(100</w:t>
            </w:r>
            <w:r w:rsidRPr="001E20CD">
              <w:t>)</w:t>
            </w:r>
          </w:p>
        </w:tc>
      </w:tr>
    </w:tbl>
    <w:p w:rsidR="007879B0" w:rsidRPr="001E20CD" w:rsidRDefault="007879B0" w:rsidP="0017310E">
      <w:pPr>
        <w:tabs>
          <w:tab w:val="clear" w:pos="8640"/>
          <w:tab w:val="left" w:pos="2370"/>
        </w:tabs>
        <w:autoSpaceDE w:val="0"/>
        <w:autoSpaceDN w:val="0"/>
        <w:adjustRightInd w:val="0"/>
        <w:spacing w:line="480" w:lineRule="auto"/>
      </w:pPr>
    </w:p>
    <w:p w:rsidR="005D67E9" w:rsidRDefault="00D347DD" w:rsidP="007879B0">
      <w:pPr>
        <w:spacing w:line="480" w:lineRule="auto"/>
      </w:pPr>
      <w:r w:rsidRPr="001E20CD">
        <w:t>El dolor torácico típico fue el síntoma principal que motivó la indicación de los estudios de perfusión miocárdica para el diagnóstico y pronóstico de l</w:t>
      </w:r>
      <w:r w:rsidR="002F3792">
        <w:t>a</w:t>
      </w:r>
      <w:r w:rsidR="00E9490D">
        <w:t xml:space="preserve"> CI</w:t>
      </w:r>
      <w:r w:rsidRPr="001E20CD">
        <w:t xml:space="preserve">. </w:t>
      </w:r>
      <w:r w:rsidR="0004749E">
        <w:t>El mismo estuvo presente en 115 pacientes (63,9 % de total), como lo muestra la tabla 2. En estos</w:t>
      </w:r>
      <w:r w:rsidR="00E9490D">
        <w:t xml:space="preserve"> s</w:t>
      </w:r>
      <w:r w:rsidRPr="001E20CD">
        <w:t>e comprobó la positividad de isquemia solo e</w:t>
      </w:r>
      <w:r w:rsidR="00E9490D">
        <w:t>n</w:t>
      </w:r>
      <w:r w:rsidR="0004749E">
        <w:t xml:space="preserve"> 50 pacientes representando</w:t>
      </w:r>
      <w:r w:rsidR="00E9490D">
        <w:t xml:space="preserve"> el 43,5</w:t>
      </w:r>
      <w:r w:rsidR="0004749E">
        <w:t xml:space="preserve">%. De los 65 pacientes con dolor torácico atípico se comprobó la isquemia miocárdica </w:t>
      </w:r>
      <w:r w:rsidR="00CC77BD">
        <w:t>en 24, siendo el</w:t>
      </w:r>
      <w:r w:rsidR="00F50B84">
        <w:t xml:space="preserve"> 36,9%. Por lo que estos datos nos sugieren</w:t>
      </w:r>
      <w:r w:rsidR="0004749E">
        <w:t xml:space="preserve"> que </w:t>
      </w:r>
      <w:r w:rsidR="00CC77BD">
        <w:t xml:space="preserve">las características típicas del dolor torácico representan </w:t>
      </w:r>
      <w:r w:rsidR="00CC77BD">
        <w:lastRenderedPageBreak/>
        <w:t>un criterio importante en la búsqueda de enfermedad</w:t>
      </w:r>
      <w:r w:rsidR="00F50B84">
        <w:t xml:space="preserve"> arterial</w:t>
      </w:r>
      <w:r w:rsidR="00CC77BD">
        <w:t xml:space="preserve"> coronaria; en poblaciones especiales como mujeres, diabéticos y ancianos debemos prestar atención a la atipicidad del dolor porque también son el inicio del diagn</w:t>
      </w:r>
      <w:r w:rsidR="00F50B84">
        <w:t>óstico de la aterosclerosis</w:t>
      </w:r>
      <w:r w:rsidR="00CC77BD">
        <w:t xml:space="preserve"> coronaria. </w:t>
      </w:r>
      <w:r w:rsidRPr="001E20CD">
        <w:t>(tabla 3)</w:t>
      </w:r>
    </w:p>
    <w:p w:rsidR="007879B0" w:rsidRPr="001E20CD" w:rsidRDefault="007879B0" w:rsidP="007879B0">
      <w:pPr>
        <w:spacing w:line="480" w:lineRule="auto"/>
      </w:pPr>
      <w:r w:rsidRPr="001E20CD">
        <w:rPr>
          <w:lang w:eastAsia="es-ES"/>
        </w:rPr>
        <w:t>Tabla 4. Resultados de la PE y la GPM de los pacientes estudiados.</w:t>
      </w:r>
    </w:p>
    <w:tbl>
      <w:tblPr>
        <w:tblStyle w:val="Tabladecuadrcula1clara1"/>
        <w:tblW w:w="9253" w:type="dxa"/>
        <w:jc w:val="center"/>
        <w:tblLayout w:type="fixed"/>
        <w:tblLook w:val="0000" w:firstRow="0" w:lastRow="0" w:firstColumn="0" w:lastColumn="0" w:noHBand="0" w:noVBand="0"/>
      </w:tblPr>
      <w:tblGrid>
        <w:gridCol w:w="2643"/>
        <w:gridCol w:w="1100"/>
        <w:gridCol w:w="1101"/>
        <w:gridCol w:w="1102"/>
        <w:gridCol w:w="1102"/>
        <w:gridCol w:w="1102"/>
        <w:gridCol w:w="1103"/>
      </w:tblGrid>
      <w:tr w:rsidR="007C2AA7" w:rsidRPr="001E20CD" w:rsidTr="006E2A2C">
        <w:trPr>
          <w:trHeight w:val="325"/>
          <w:jc w:val="center"/>
        </w:trPr>
        <w:tc>
          <w:tcPr>
            <w:tcW w:w="2643" w:type="dxa"/>
            <w:vMerge w:val="restart"/>
            <w:shd w:val="clear" w:color="auto" w:fill="E5A5B4"/>
          </w:tcPr>
          <w:p w:rsidR="007C2AA7" w:rsidRPr="001E20CD" w:rsidRDefault="007C2AA7" w:rsidP="007C2AA7">
            <w:pPr>
              <w:autoSpaceDE w:val="0"/>
              <w:autoSpaceDN w:val="0"/>
              <w:adjustRightInd w:val="0"/>
              <w:jc w:val="center"/>
              <w:rPr>
                <w:b/>
              </w:rPr>
            </w:pPr>
            <w:r w:rsidRPr="001E20CD">
              <w:rPr>
                <w:b/>
              </w:rPr>
              <w:t>Resultados de la PE</w:t>
            </w:r>
            <w:r>
              <w:rPr>
                <w:b/>
              </w:rPr>
              <w:t>P</w:t>
            </w:r>
            <w:r w:rsidRPr="001E20CD">
              <w:rPr>
                <w:b/>
              </w:rPr>
              <w:t>.</w:t>
            </w:r>
          </w:p>
        </w:tc>
        <w:tc>
          <w:tcPr>
            <w:tcW w:w="6610" w:type="dxa"/>
            <w:gridSpan w:val="6"/>
            <w:shd w:val="clear" w:color="auto" w:fill="E5A5B4"/>
          </w:tcPr>
          <w:p w:rsidR="007C2AA7" w:rsidRPr="001E20CD" w:rsidRDefault="007C2AA7" w:rsidP="007C2AA7">
            <w:pPr>
              <w:spacing w:line="480" w:lineRule="auto"/>
              <w:jc w:val="center"/>
              <w:rPr>
                <w:b/>
              </w:rPr>
            </w:pPr>
            <w:r w:rsidRPr="001E20CD">
              <w:rPr>
                <w:b/>
              </w:rPr>
              <w:t>Gammagrafía de perfusión miocárdica</w:t>
            </w:r>
          </w:p>
        </w:tc>
      </w:tr>
      <w:tr w:rsidR="007C2AA7" w:rsidRPr="001E20CD" w:rsidTr="006E2A2C">
        <w:trPr>
          <w:trHeight w:val="325"/>
          <w:jc w:val="center"/>
        </w:trPr>
        <w:tc>
          <w:tcPr>
            <w:tcW w:w="2643" w:type="dxa"/>
            <w:vMerge/>
            <w:shd w:val="clear" w:color="auto" w:fill="E5A5B4"/>
          </w:tcPr>
          <w:p w:rsidR="007C2AA7" w:rsidRPr="001E20CD" w:rsidRDefault="007C2AA7" w:rsidP="007C2AA7">
            <w:pPr>
              <w:autoSpaceDE w:val="0"/>
              <w:autoSpaceDN w:val="0"/>
              <w:adjustRightInd w:val="0"/>
              <w:jc w:val="center"/>
            </w:pPr>
          </w:p>
        </w:tc>
        <w:tc>
          <w:tcPr>
            <w:tcW w:w="2201" w:type="dxa"/>
            <w:gridSpan w:val="2"/>
            <w:shd w:val="clear" w:color="auto" w:fill="E5A5B4"/>
          </w:tcPr>
          <w:p w:rsidR="007C2AA7" w:rsidRPr="001E20CD" w:rsidRDefault="007C2AA7" w:rsidP="007C2AA7">
            <w:pPr>
              <w:autoSpaceDE w:val="0"/>
              <w:autoSpaceDN w:val="0"/>
              <w:adjustRightInd w:val="0"/>
              <w:spacing w:line="320" w:lineRule="atLeast"/>
              <w:ind w:left="60" w:right="60"/>
              <w:jc w:val="center"/>
              <w:rPr>
                <w:b/>
              </w:rPr>
            </w:pPr>
            <w:r w:rsidRPr="001E20CD">
              <w:rPr>
                <w:b/>
              </w:rPr>
              <w:t>Positiva</w:t>
            </w:r>
          </w:p>
        </w:tc>
        <w:tc>
          <w:tcPr>
            <w:tcW w:w="2204" w:type="dxa"/>
            <w:gridSpan w:val="2"/>
            <w:shd w:val="clear" w:color="auto" w:fill="E5A5B4"/>
          </w:tcPr>
          <w:p w:rsidR="007C2AA7" w:rsidRPr="001E20CD" w:rsidRDefault="007C2AA7" w:rsidP="007C2AA7">
            <w:pPr>
              <w:autoSpaceDE w:val="0"/>
              <w:autoSpaceDN w:val="0"/>
              <w:adjustRightInd w:val="0"/>
              <w:spacing w:line="320" w:lineRule="atLeast"/>
              <w:ind w:left="60" w:right="60"/>
              <w:jc w:val="center"/>
              <w:rPr>
                <w:b/>
              </w:rPr>
            </w:pPr>
            <w:r w:rsidRPr="001E20CD">
              <w:rPr>
                <w:b/>
              </w:rPr>
              <w:t>Negativa</w:t>
            </w:r>
          </w:p>
        </w:tc>
        <w:tc>
          <w:tcPr>
            <w:tcW w:w="2205" w:type="dxa"/>
            <w:gridSpan w:val="2"/>
            <w:shd w:val="clear" w:color="auto" w:fill="E5A5B4"/>
          </w:tcPr>
          <w:p w:rsidR="007C2AA7" w:rsidRPr="001E20CD" w:rsidRDefault="007C2AA7" w:rsidP="007C2AA7">
            <w:pPr>
              <w:autoSpaceDE w:val="0"/>
              <w:autoSpaceDN w:val="0"/>
              <w:adjustRightInd w:val="0"/>
              <w:spacing w:line="320" w:lineRule="atLeast"/>
              <w:ind w:left="60" w:right="60"/>
              <w:jc w:val="center"/>
              <w:rPr>
                <w:b/>
              </w:rPr>
            </w:pPr>
            <w:r w:rsidRPr="001E20CD">
              <w:rPr>
                <w:b/>
              </w:rPr>
              <w:t>Total</w:t>
            </w:r>
          </w:p>
        </w:tc>
      </w:tr>
      <w:tr w:rsidR="007C2AA7" w:rsidRPr="001E20CD" w:rsidTr="006E2A2C">
        <w:trPr>
          <w:trHeight w:val="325"/>
          <w:jc w:val="center"/>
        </w:trPr>
        <w:tc>
          <w:tcPr>
            <w:tcW w:w="2643" w:type="dxa"/>
            <w:vMerge/>
            <w:shd w:val="clear" w:color="auto" w:fill="E5A5B4"/>
          </w:tcPr>
          <w:p w:rsidR="007C2AA7" w:rsidRPr="001E20CD" w:rsidRDefault="007C2AA7" w:rsidP="007C2AA7">
            <w:pPr>
              <w:autoSpaceDE w:val="0"/>
              <w:autoSpaceDN w:val="0"/>
              <w:adjustRightInd w:val="0"/>
              <w:jc w:val="center"/>
            </w:pPr>
          </w:p>
        </w:tc>
        <w:tc>
          <w:tcPr>
            <w:tcW w:w="1100" w:type="dxa"/>
            <w:shd w:val="clear" w:color="auto" w:fill="E5A5B4"/>
          </w:tcPr>
          <w:p w:rsidR="007C2AA7" w:rsidRPr="00440EE1" w:rsidRDefault="00D670B2" w:rsidP="007C2AA7">
            <w:pPr>
              <w:autoSpaceDE w:val="0"/>
              <w:autoSpaceDN w:val="0"/>
              <w:adjustRightInd w:val="0"/>
              <w:spacing w:line="320" w:lineRule="atLeast"/>
              <w:ind w:left="60" w:right="60"/>
              <w:jc w:val="center"/>
            </w:pPr>
            <w:r w:rsidRPr="00440EE1">
              <w:t>N</w:t>
            </w:r>
          </w:p>
        </w:tc>
        <w:tc>
          <w:tcPr>
            <w:tcW w:w="1101" w:type="dxa"/>
            <w:shd w:val="clear" w:color="auto" w:fill="E5A5B4"/>
          </w:tcPr>
          <w:p w:rsidR="007C2AA7" w:rsidRPr="00440EE1" w:rsidRDefault="007C2AA7" w:rsidP="007C2AA7">
            <w:pPr>
              <w:autoSpaceDE w:val="0"/>
              <w:autoSpaceDN w:val="0"/>
              <w:adjustRightInd w:val="0"/>
              <w:spacing w:line="320" w:lineRule="atLeast"/>
              <w:ind w:left="60" w:right="60"/>
              <w:jc w:val="center"/>
            </w:pPr>
            <w:r w:rsidRPr="00440EE1">
              <w:t>%</w:t>
            </w:r>
          </w:p>
        </w:tc>
        <w:tc>
          <w:tcPr>
            <w:tcW w:w="1102" w:type="dxa"/>
            <w:shd w:val="clear" w:color="auto" w:fill="E5A5B4"/>
          </w:tcPr>
          <w:p w:rsidR="007C2AA7" w:rsidRPr="00440EE1" w:rsidRDefault="007C2AA7" w:rsidP="007C2AA7">
            <w:pPr>
              <w:autoSpaceDE w:val="0"/>
              <w:autoSpaceDN w:val="0"/>
              <w:adjustRightInd w:val="0"/>
              <w:spacing w:line="320" w:lineRule="atLeast"/>
              <w:ind w:left="60" w:right="60"/>
              <w:jc w:val="center"/>
            </w:pPr>
            <w:r w:rsidRPr="00440EE1">
              <w:t>n</w:t>
            </w:r>
          </w:p>
        </w:tc>
        <w:tc>
          <w:tcPr>
            <w:tcW w:w="1102" w:type="dxa"/>
            <w:shd w:val="clear" w:color="auto" w:fill="E5A5B4"/>
          </w:tcPr>
          <w:p w:rsidR="007C2AA7" w:rsidRPr="00440EE1" w:rsidRDefault="007C2AA7" w:rsidP="007C2AA7">
            <w:pPr>
              <w:autoSpaceDE w:val="0"/>
              <w:autoSpaceDN w:val="0"/>
              <w:adjustRightInd w:val="0"/>
              <w:spacing w:line="320" w:lineRule="atLeast"/>
              <w:ind w:left="60" w:right="60"/>
              <w:jc w:val="center"/>
            </w:pPr>
            <w:r w:rsidRPr="00440EE1">
              <w:t>%</w:t>
            </w:r>
          </w:p>
        </w:tc>
        <w:tc>
          <w:tcPr>
            <w:tcW w:w="1102" w:type="dxa"/>
            <w:shd w:val="clear" w:color="auto" w:fill="E5A5B4"/>
          </w:tcPr>
          <w:p w:rsidR="007C2AA7" w:rsidRPr="00440EE1" w:rsidRDefault="00377C46" w:rsidP="007C2AA7">
            <w:pPr>
              <w:autoSpaceDE w:val="0"/>
              <w:autoSpaceDN w:val="0"/>
              <w:adjustRightInd w:val="0"/>
              <w:spacing w:line="320" w:lineRule="atLeast"/>
              <w:ind w:left="60" w:right="60"/>
              <w:jc w:val="center"/>
            </w:pPr>
            <w:r w:rsidRPr="00440EE1">
              <w:t>N</w:t>
            </w:r>
          </w:p>
        </w:tc>
        <w:tc>
          <w:tcPr>
            <w:tcW w:w="1103" w:type="dxa"/>
            <w:shd w:val="clear" w:color="auto" w:fill="E5A5B4"/>
          </w:tcPr>
          <w:p w:rsidR="007C2AA7" w:rsidRPr="00440EE1" w:rsidRDefault="007C2AA7" w:rsidP="007C2AA7">
            <w:pPr>
              <w:autoSpaceDE w:val="0"/>
              <w:autoSpaceDN w:val="0"/>
              <w:adjustRightInd w:val="0"/>
              <w:spacing w:line="320" w:lineRule="atLeast"/>
              <w:ind w:left="60" w:right="60"/>
              <w:jc w:val="center"/>
            </w:pPr>
            <w:r w:rsidRPr="00440EE1">
              <w:t>%</w:t>
            </w:r>
          </w:p>
        </w:tc>
      </w:tr>
      <w:tr w:rsidR="007C2AA7" w:rsidRPr="001E20CD" w:rsidTr="00F50B84">
        <w:trPr>
          <w:trHeight w:val="325"/>
          <w:jc w:val="center"/>
        </w:trPr>
        <w:tc>
          <w:tcPr>
            <w:tcW w:w="2643" w:type="dxa"/>
            <w:shd w:val="clear" w:color="auto" w:fill="FFFFFF" w:themeFill="background1"/>
          </w:tcPr>
          <w:p w:rsidR="007C2AA7" w:rsidRPr="001E20CD" w:rsidRDefault="007C2AA7" w:rsidP="007C2AA7">
            <w:pPr>
              <w:autoSpaceDE w:val="0"/>
              <w:autoSpaceDN w:val="0"/>
              <w:adjustRightInd w:val="0"/>
              <w:spacing w:line="320" w:lineRule="atLeast"/>
              <w:ind w:left="60" w:right="60"/>
              <w:jc w:val="center"/>
              <w:rPr>
                <w:b/>
              </w:rPr>
            </w:pPr>
            <w:r w:rsidRPr="001E20CD">
              <w:rPr>
                <w:b/>
              </w:rPr>
              <w:t>Positiva</w:t>
            </w:r>
          </w:p>
        </w:tc>
        <w:tc>
          <w:tcPr>
            <w:tcW w:w="1100" w:type="dxa"/>
          </w:tcPr>
          <w:p w:rsidR="007C2AA7" w:rsidRPr="001E20CD" w:rsidRDefault="007C2AA7" w:rsidP="007C2AA7">
            <w:pPr>
              <w:autoSpaceDE w:val="0"/>
              <w:autoSpaceDN w:val="0"/>
              <w:adjustRightInd w:val="0"/>
              <w:spacing w:line="320" w:lineRule="atLeast"/>
              <w:ind w:left="60" w:right="60"/>
              <w:jc w:val="center"/>
            </w:pPr>
            <w:r>
              <w:t>68</w:t>
            </w:r>
          </w:p>
        </w:tc>
        <w:tc>
          <w:tcPr>
            <w:tcW w:w="1101" w:type="dxa"/>
          </w:tcPr>
          <w:p w:rsidR="007C2AA7" w:rsidRPr="001E20CD" w:rsidRDefault="007C2AA7" w:rsidP="007C2AA7">
            <w:pPr>
              <w:autoSpaceDE w:val="0"/>
              <w:autoSpaceDN w:val="0"/>
              <w:adjustRightInd w:val="0"/>
              <w:spacing w:line="320" w:lineRule="atLeast"/>
              <w:ind w:left="60" w:right="60"/>
              <w:jc w:val="center"/>
            </w:pPr>
            <w:r>
              <w:t>52,3</w:t>
            </w:r>
          </w:p>
        </w:tc>
        <w:tc>
          <w:tcPr>
            <w:tcW w:w="1102" w:type="dxa"/>
          </w:tcPr>
          <w:p w:rsidR="007C2AA7" w:rsidRPr="001E20CD" w:rsidRDefault="007C2AA7" w:rsidP="007C2AA7">
            <w:pPr>
              <w:autoSpaceDE w:val="0"/>
              <w:autoSpaceDN w:val="0"/>
              <w:adjustRightInd w:val="0"/>
              <w:spacing w:line="320" w:lineRule="atLeast"/>
              <w:ind w:left="60" w:right="60"/>
              <w:jc w:val="center"/>
            </w:pPr>
            <w:r>
              <w:t>62</w:t>
            </w:r>
          </w:p>
        </w:tc>
        <w:tc>
          <w:tcPr>
            <w:tcW w:w="1102" w:type="dxa"/>
          </w:tcPr>
          <w:p w:rsidR="007C2AA7" w:rsidRPr="001E20CD" w:rsidRDefault="007C2AA7" w:rsidP="007C2AA7">
            <w:pPr>
              <w:autoSpaceDE w:val="0"/>
              <w:autoSpaceDN w:val="0"/>
              <w:adjustRightInd w:val="0"/>
              <w:spacing w:line="320" w:lineRule="atLeast"/>
              <w:ind w:left="60" w:right="60"/>
              <w:jc w:val="center"/>
            </w:pPr>
            <w:r>
              <w:t>47,7</w:t>
            </w:r>
          </w:p>
        </w:tc>
        <w:tc>
          <w:tcPr>
            <w:tcW w:w="1102" w:type="dxa"/>
          </w:tcPr>
          <w:p w:rsidR="007C2AA7" w:rsidRPr="001E20CD" w:rsidRDefault="007C2AA7" w:rsidP="007C2AA7">
            <w:pPr>
              <w:autoSpaceDE w:val="0"/>
              <w:autoSpaceDN w:val="0"/>
              <w:adjustRightInd w:val="0"/>
              <w:spacing w:line="320" w:lineRule="atLeast"/>
              <w:ind w:left="60" w:right="60"/>
              <w:jc w:val="center"/>
            </w:pPr>
            <w:r>
              <w:t>130</w:t>
            </w:r>
          </w:p>
        </w:tc>
        <w:tc>
          <w:tcPr>
            <w:tcW w:w="1103" w:type="dxa"/>
          </w:tcPr>
          <w:p w:rsidR="007C2AA7" w:rsidRPr="001E20CD" w:rsidRDefault="007C2AA7" w:rsidP="007C2AA7">
            <w:pPr>
              <w:autoSpaceDE w:val="0"/>
              <w:autoSpaceDN w:val="0"/>
              <w:adjustRightInd w:val="0"/>
              <w:spacing w:line="320" w:lineRule="atLeast"/>
              <w:ind w:left="60" w:right="60"/>
              <w:jc w:val="center"/>
            </w:pPr>
            <w:r>
              <w:t>100</w:t>
            </w:r>
          </w:p>
        </w:tc>
      </w:tr>
      <w:tr w:rsidR="007C2AA7" w:rsidRPr="001E20CD" w:rsidTr="00F50B84">
        <w:trPr>
          <w:trHeight w:val="651"/>
          <w:jc w:val="center"/>
        </w:trPr>
        <w:tc>
          <w:tcPr>
            <w:tcW w:w="2643" w:type="dxa"/>
            <w:shd w:val="clear" w:color="auto" w:fill="FFFFFF" w:themeFill="background1"/>
          </w:tcPr>
          <w:p w:rsidR="007C2AA7" w:rsidRPr="001E20CD" w:rsidRDefault="00063F7D" w:rsidP="007C2AA7">
            <w:pPr>
              <w:autoSpaceDE w:val="0"/>
              <w:autoSpaceDN w:val="0"/>
              <w:adjustRightInd w:val="0"/>
              <w:spacing w:line="320" w:lineRule="atLeast"/>
              <w:ind w:left="60" w:right="60"/>
              <w:jc w:val="center"/>
              <w:rPr>
                <w:b/>
              </w:rPr>
            </w:pPr>
            <w:r>
              <w:rPr>
                <w:b/>
              </w:rPr>
              <w:t>Negativa/Dudosa</w:t>
            </w:r>
          </w:p>
        </w:tc>
        <w:tc>
          <w:tcPr>
            <w:tcW w:w="1100" w:type="dxa"/>
          </w:tcPr>
          <w:p w:rsidR="007C2AA7" w:rsidRPr="001E20CD" w:rsidRDefault="007C2AA7" w:rsidP="007C2AA7">
            <w:pPr>
              <w:autoSpaceDE w:val="0"/>
              <w:autoSpaceDN w:val="0"/>
              <w:adjustRightInd w:val="0"/>
              <w:spacing w:line="320" w:lineRule="atLeast"/>
              <w:ind w:left="60" w:right="60"/>
              <w:jc w:val="center"/>
            </w:pPr>
            <w:r>
              <w:t>6</w:t>
            </w:r>
          </w:p>
        </w:tc>
        <w:tc>
          <w:tcPr>
            <w:tcW w:w="1101" w:type="dxa"/>
          </w:tcPr>
          <w:p w:rsidR="007C2AA7" w:rsidRPr="001E20CD" w:rsidRDefault="007C2AA7" w:rsidP="007C2AA7">
            <w:pPr>
              <w:jc w:val="center"/>
            </w:pPr>
            <w:r>
              <w:t>12</w:t>
            </w:r>
          </w:p>
        </w:tc>
        <w:tc>
          <w:tcPr>
            <w:tcW w:w="1102" w:type="dxa"/>
          </w:tcPr>
          <w:p w:rsidR="007C2AA7" w:rsidRPr="001E20CD" w:rsidRDefault="007C2AA7" w:rsidP="007C2AA7">
            <w:pPr>
              <w:autoSpaceDE w:val="0"/>
              <w:autoSpaceDN w:val="0"/>
              <w:adjustRightInd w:val="0"/>
              <w:spacing w:line="320" w:lineRule="atLeast"/>
              <w:ind w:left="60" w:right="60"/>
              <w:jc w:val="center"/>
            </w:pPr>
            <w:r>
              <w:t>44</w:t>
            </w:r>
          </w:p>
        </w:tc>
        <w:tc>
          <w:tcPr>
            <w:tcW w:w="1102" w:type="dxa"/>
          </w:tcPr>
          <w:p w:rsidR="007C2AA7" w:rsidRPr="001E20CD" w:rsidRDefault="007C2AA7" w:rsidP="007C2AA7">
            <w:pPr>
              <w:jc w:val="center"/>
            </w:pPr>
            <w:r>
              <w:t>88</w:t>
            </w:r>
          </w:p>
        </w:tc>
        <w:tc>
          <w:tcPr>
            <w:tcW w:w="1102" w:type="dxa"/>
          </w:tcPr>
          <w:p w:rsidR="007C2AA7" w:rsidRPr="001E20CD" w:rsidRDefault="007C2AA7" w:rsidP="007C2AA7">
            <w:pPr>
              <w:autoSpaceDE w:val="0"/>
              <w:autoSpaceDN w:val="0"/>
              <w:adjustRightInd w:val="0"/>
              <w:spacing w:line="320" w:lineRule="atLeast"/>
              <w:ind w:left="60" w:right="60"/>
              <w:jc w:val="center"/>
            </w:pPr>
            <w:r>
              <w:t>50</w:t>
            </w:r>
          </w:p>
        </w:tc>
        <w:tc>
          <w:tcPr>
            <w:tcW w:w="1103" w:type="dxa"/>
          </w:tcPr>
          <w:p w:rsidR="007C2AA7" w:rsidRPr="001E20CD" w:rsidRDefault="007C2AA7" w:rsidP="007C2AA7">
            <w:pPr>
              <w:autoSpaceDE w:val="0"/>
              <w:autoSpaceDN w:val="0"/>
              <w:adjustRightInd w:val="0"/>
              <w:spacing w:line="320" w:lineRule="atLeast"/>
              <w:ind w:left="60" w:right="60"/>
              <w:jc w:val="center"/>
            </w:pPr>
            <w:r>
              <w:t>100</w:t>
            </w:r>
          </w:p>
        </w:tc>
      </w:tr>
    </w:tbl>
    <w:p w:rsidR="00D347DD" w:rsidRPr="001E20CD" w:rsidRDefault="00D347DD" w:rsidP="00D347DD">
      <w:pPr>
        <w:autoSpaceDE w:val="0"/>
        <w:autoSpaceDN w:val="0"/>
        <w:adjustRightInd w:val="0"/>
        <w:spacing w:line="400" w:lineRule="atLeast"/>
        <w:rPr>
          <w:lang w:eastAsia="es-ES"/>
        </w:rPr>
      </w:pPr>
    </w:p>
    <w:p w:rsidR="00CC77BD" w:rsidRDefault="00CC77BD" w:rsidP="00D347DD">
      <w:pPr>
        <w:autoSpaceDE w:val="0"/>
        <w:autoSpaceDN w:val="0"/>
        <w:adjustRightInd w:val="0"/>
        <w:spacing w:line="480" w:lineRule="auto"/>
        <w:rPr>
          <w:lang w:eastAsia="es-ES"/>
        </w:rPr>
      </w:pPr>
      <w:r>
        <w:rPr>
          <w:lang w:eastAsia="es-ES"/>
        </w:rPr>
        <w:t>La</w:t>
      </w:r>
      <w:r w:rsidR="00D347DD">
        <w:rPr>
          <w:lang w:eastAsia="es-ES"/>
        </w:rPr>
        <w:t xml:space="preserve"> tabla 4 </w:t>
      </w:r>
      <w:r>
        <w:rPr>
          <w:lang w:eastAsia="es-ES"/>
        </w:rPr>
        <w:t>muestra el resultado de</w:t>
      </w:r>
      <w:r w:rsidR="001729DC">
        <w:rPr>
          <w:lang w:eastAsia="es-ES"/>
        </w:rPr>
        <w:t xml:space="preserve"> la</w:t>
      </w:r>
      <w:r w:rsidR="00584EF5">
        <w:rPr>
          <w:lang w:eastAsia="es-ES"/>
        </w:rPr>
        <w:t>s</w:t>
      </w:r>
      <w:r w:rsidR="001729DC">
        <w:rPr>
          <w:lang w:eastAsia="es-ES"/>
        </w:rPr>
        <w:t xml:space="preserve"> PE</w:t>
      </w:r>
      <w:r w:rsidR="00584EF5">
        <w:rPr>
          <w:lang w:eastAsia="es-ES"/>
        </w:rPr>
        <w:t xml:space="preserve">P </w:t>
      </w:r>
      <w:r>
        <w:rPr>
          <w:lang w:eastAsia="es-ES"/>
        </w:rPr>
        <w:t>con respecto al resultado de las perfusiones miocárdicas. Del total de PEP positivas solo se demostró isquemia miocárdica al 52,3%, restando un 47,7% libre de diagnóstico de CI. En los pacientes con PEP negativas o dudosas se le constató isquemia al 12 % en l</w:t>
      </w:r>
      <w:r w:rsidR="008B47F7">
        <w:rPr>
          <w:lang w:eastAsia="es-ES"/>
        </w:rPr>
        <w:t>a</w:t>
      </w:r>
      <w:r>
        <w:rPr>
          <w:lang w:eastAsia="es-ES"/>
        </w:rPr>
        <w:t xml:space="preserve"> PM, evidenciándose </w:t>
      </w:r>
      <w:r w:rsidR="008B47F7">
        <w:rPr>
          <w:lang w:eastAsia="es-ES"/>
        </w:rPr>
        <w:t xml:space="preserve">un porcentaje mínimo de pruebas </w:t>
      </w:r>
      <w:proofErr w:type="spellStart"/>
      <w:r w:rsidR="008B47F7">
        <w:rPr>
          <w:lang w:eastAsia="es-ES"/>
        </w:rPr>
        <w:t>ergométricas</w:t>
      </w:r>
      <w:proofErr w:type="spellEnd"/>
      <w:r w:rsidR="008B47F7">
        <w:rPr>
          <w:lang w:eastAsia="es-ES"/>
        </w:rPr>
        <w:t xml:space="preserve"> con resultados falsos negativos a los cuales se les definió su diagnóstico mediante este examen de imagen no invasivo.</w:t>
      </w:r>
    </w:p>
    <w:p w:rsidR="008B47F7" w:rsidRDefault="00063F7D" w:rsidP="008B47F7">
      <w:pPr>
        <w:autoSpaceDE w:val="0"/>
        <w:autoSpaceDN w:val="0"/>
        <w:adjustRightInd w:val="0"/>
        <w:spacing w:line="480" w:lineRule="auto"/>
        <w:rPr>
          <w:lang w:eastAsia="es-ES"/>
        </w:rPr>
      </w:pPr>
      <w:r>
        <w:rPr>
          <w:lang w:eastAsia="es-ES"/>
        </w:rPr>
        <w:t>E</w:t>
      </w:r>
      <w:r w:rsidR="008B47F7">
        <w:rPr>
          <w:lang w:eastAsia="es-ES"/>
        </w:rPr>
        <w:t xml:space="preserve">l 47,7 % de los pacientes con PEP positivas tuvieron estudios normales de perfusión miocárdica, por lo que estamos obligados a considerar la ocurrencia de los falsos positivos de la prueba </w:t>
      </w:r>
      <w:proofErr w:type="spellStart"/>
      <w:r w:rsidR="008B47F7">
        <w:rPr>
          <w:lang w:eastAsia="es-ES"/>
        </w:rPr>
        <w:t>ergométrica</w:t>
      </w:r>
      <w:proofErr w:type="spellEnd"/>
      <w:r w:rsidR="008B47F7">
        <w:rPr>
          <w:lang w:eastAsia="es-ES"/>
        </w:rPr>
        <w:t xml:space="preserve"> a partir de múltiples variables clínicas que pudieran incidir en ellas. Sin embargo, la mayoría del porcentaje de pacientes con ergometrías previas negativas, el 88%, presentaron estudios normales de perfusión miocárdica.</w:t>
      </w:r>
    </w:p>
    <w:p w:rsidR="00D670B2" w:rsidRPr="001E20CD" w:rsidRDefault="00D670B2" w:rsidP="008B47F7">
      <w:pPr>
        <w:autoSpaceDE w:val="0"/>
        <w:autoSpaceDN w:val="0"/>
        <w:adjustRightInd w:val="0"/>
        <w:spacing w:line="480" w:lineRule="auto"/>
        <w:rPr>
          <w:lang w:eastAsia="es-ES"/>
        </w:rPr>
      </w:pPr>
      <w:r>
        <w:rPr>
          <w:lang w:eastAsia="es-ES"/>
        </w:rPr>
        <w:lastRenderedPageBreak/>
        <w:t xml:space="preserve">En el análisis estadístico de </w:t>
      </w:r>
      <w:r w:rsidR="00B577B7">
        <w:rPr>
          <w:lang w:eastAsia="es-ES"/>
        </w:rPr>
        <w:t xml:space="preserve">estas variables obtuvimos un OR: </w:t>
      </w:r>
      <w:r>
        <w:rPr>
          <w:lang w:eastAsia="es-ES"/>
        </w:rPr>
        <w:t>4,359</w:t>
      </w:r>
      <w:r w:rsidR="00B577B7">
        <w:rPr>
          <w:lang w:eastAsia="es-ES"/>
        </w:rPr>
        <w:t>;</w:t>
      </w:r>
      <w:r w:rsidR="00804507">
        <w:rPr>
          <w:lang w:eastAsia="es-ES"/>
        </w:rPr>
        <w:t xml:space="preserve"> 95%</w:t>
      </w:r>
      <w:r w:rsidR="00B577B7">
        <w:rPr>
          <w:lang w:eastAsia="es-ES"/>
        </w:rPr>
        <w:t>; IC:2,02-9,40;</w:t>
      </w:r>
      <w:r w:rsidR="00804507">
        <w:rPr>
          <w:lang w:eastAsia="es-ES"/>
        </w:rPr>
        <w:t xml:space="preserve"> p&lt;0,001. Por lo que entre ambas variables hay una relación significativa.</w:t>
      </w:r>
    </w:p>
    <w:p w:rsidR="007879B0" w:rsidRPr="001E20CD" w:rsidRDefault="00804507" w:rsidP="00F64D78">
      <w:pPr>
        <w:autoSpaceDE w:val="0"/>
        <w:autoSpaceDN w:val="0"/>
        <w:adjustRightInd w:val="0"/>
        <w:spacing w:line="480" w:lineRule="auto"/>
        <w:rPr>
          <w:lang w:eastAsia="es-ES"/>
        </w:rPr>
      </w:pPr>
      <w:r>
        <w:rPr>
          <w:lang w:eastAsia="es-ES"/>
        </w:rPr>
        <w:t xml:space="preserve"> </w:t>
      </w:r>
      <w:r w:rsidR="007879B0">
        <w:rPr>
          <w:lang w:eastAsia="es-ES"/>
        </w:rPr>
        <w:t>Tabla 5</w:t>
      </w:r>
      <w:r w:rsidR="007879B0" w:rsidRPr="001E20CD">
        <w:rPr>
          <w:lang w:eastAsia="es-ES"/>
        </w:rPr>
        <w:t xml:space="preserve">. Relación entre el resultado de la </w:t>
      </w:r>
      <w:proofErr w:type="spellStart"/>
      <w:r w:rsidR="007879B0" w:rsidRPr="001E20CD">
        <w:rPr>
          <w:lang w:eastAsia="es-ES"/>
        </w:rPr>
        <w:t>coronariografía</w:t>
      </w:r>
      <w:proofErr w:type="spellEnd"/>
      <w:r w:rsidR="007879B0" w:rsidRPr="001E20CD">
        <w:rPr>
          <w:lang w:eastAsia="es-ES"/>
        </w:rPr>
        <w:t xml:space="preserve"> y la positividad en la perfusión miocárdica. </w:t>
      </w:r>
    </w:p>
    <w:tbl>
      <w:tblPr>
        <w:tblStyle w:val="Tablanormal2"/>
        <w:tblW w:w="0" w:type="auto"/>
        <w:tblLook w:val="04A0" w:firstRow="1" w:lastRow="0" w:firstColumn="1" w:lastColumn="0" w:noHBand="0" w:noVBand="1"/>
      </w:tblPr>
      <w:tblGrid>
        <w:gridCol w:w="2660"/>
        <w:gridCol w:w="3118"/>
        <w:gridCol w:w="2127"/>
      </w:tblGrid>
      <w:tr w:rsidR="007C2AA7" w:rsidRPr="001E20CD" w:rsidTr="006E2A2C">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660" w:type="dxa"/>
            <w:vMerge w:val="restart"/>
            <w:shd w:val="clear" w:color="auto" w:fill="E5A5B4"/>
          </w:tcPr>
          <w:p w:rsidR="007C2AA7" w:rsidRPr="006E2A2C" w:rsidRDefault="007C2AA7" w:rsidP="007C2AA7">
            <w:pPr>
              <w:spacing w:line="480" w:lineRule="auto"/>
              <w:jc w:val="center"/>
            </w:pPr>
          </w:p>
          <w:p w:rsidR="007C2AA7" w:rsidRPr="006E2A2C" w:rsidRDefault="007C2AA7" w:rsidP="007C2AA7">
            <w:pPr>
              <w:spacing w:line="480" w:lineRule="auto"/>
              <w:jc w:val="center"/>
            </w:pPr>
            <w:proofErr w:type="spellStart"/>
            <w:r w:rsidRPr="006E2A2C">
              <w:t>Coronariografía</w:t>
            </w:r>
            <w:proofErr w:type="spellEnd"/>
          </w:p>
        </w:tc>
        <w:tc>
          <w:tcPr>
            <w:tcW w:w="5245" w:type="dxa"/>
            <w:gridSpan w:val="2"/>
            <w:shd w:val="clear" w:color="auto" w:fill="E5A5B4"/>
          </w:tcPr>
          <w:p w:rsidR="007C2AA7" w:rsidRPr="007C2AA7" w:rsidRDefault="007C2AA7" w:rsidP="007C2AA7">
            <w:pPr>
              <w:spacing w:line="480" w:lineRule="auto"/>
              <w:jc w:val="center"/>
              <w:cnfStyle w:val="100000000000" w:firstRow="1" w:lastRow="0" w:firstColumn="0" w:lastColumn="0" w:oddVBand="0" w:evenVBand="0" w:oddHBand="0" w:evenHBand="0" w:firstRowFirstColumn="0" w:firstRowLastColumn="0" w:lastRowFirstColumn="0" w:lastRowLastColumn="0"/>
            </w:pPr>
            <w:r w:rsidRPr="007C2AA7">
              <w:t>Gammagrafía de perfusión miocárdica positiva</w:t>
            </w:r>
          </w:p>
        </w:tc>
      </w:tr>
      <w:tr w:rsidR="007C2AA7" w:rsidRPr="001E20CD" w:rsidTr="006E2A2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0" w:type="dxa"/>
            <w:vMerge/>
            <w:shd w:val="clear" w:color="auto" w:fill="E5A5B4"/>
          </w:tcPr>
          <w:p w:rsidR="007C2AA7" w:rsidRPr="006E2A2C" w:rsidRDefault="007C2AA7" w:rsidP="007C2AA7">
            <w:pPr>
              <w:spacing w:line="480" w:lineRule="auto"/>
              <w:jc w:val="center"/>
            </w:pPr>
          </w:p>
        </w:tc>
        <w:tc>
          <w:tcPr>
            <w:tcW w:w="3118" w:type="dxa"/>
          </w:tcPr>
          <w:p w:rsidR="007C2AA7" w:rsidRPr="006E2A2C" w:rsidRDefault="007C2AA7" w:rsidP="007C2AA7">
            <w:pPr>
              <w:spacing w:line="480" w:lineRule="auto"/>
              <w:jc w:val="center"/>
              <w:cnfStyle w:val="000000100000" w:firstRow="0" w:lastRow="0" w:firstColumn="0" w:lastColumn="0" w:oddVBand="0" w:evenVBand="0" w:oddHBand="1" w:evenHBand="0" w:firstRowFirstColumn="0" w:firstRowLastColumn="0" w:lastRowFirstColumn="0" w:lastRowLastColumn="0"/>
            </w:pPr>
            <w:r w:rsidRPr="006E2A2C">
              <w:t>n=74</w:t>
            </w:r>
          </w:p>
        </w:tc>
        <w:tc>
          <w:tcPr>
            <w:tcW w:w="2127" w:type="dxa"/>
          </w:tcPr>
          <w:p w:rsidR="007C2AA7" w:rsidRPr="006E2A2C" w:rsidRDefault="007C2AA7" w:rsidP="007C2AA7">
            <w:pPr>
              <w:spacing w:line="480" w:lineRule="auto"/>
              <w:jc w:val="center"/>
              <w:cnfStyle w:val="000000100000" w:firstRow="0" w:lastRow="0" w:firstColumn="0" w:lastColumn="0" w:oddVBand="0" w:evenVBand="0" w:oddHBand="1" w:evenHBand="0" w:firstRowFirstColumn="0" w:firstRowLastColumn="0" w:lastRowFirstColumn="0" w:lastRowLastColumn="0"/>
            </w:pPr>
            <w:r w:rsidRPr="006E2A2C">
              <w:t>%</w:t>
            </w:r>
          </w:p>
        </w:tc>
      </w:tr>
      <w:tr w:rsidR="007C2AA7" w:rsidRPr="001E20CD" w:rsidTr="006E2A2C">
        <w:trPr>
          <w:trHeight w:val="558"/>
        </w:trPr>
        <w:tc>
          <w:tcPr>
            <w:cnfStyle w:val="001000000000" w:firstRow="0" w:lastRow="0" w:firstColumn="1" w:lastColumn="0" w:oddVBand="0" w:evenVBand="0" w:oddHBand="0" w:evenHBand="0" w:firstRowFirstColumn="0" w:firstRowLastColumn="0" w:lastRowFirstColumn="0" w:lastRowLastColumn="0"/>
            <w:tcW w:w="2660" w:type="dxa"/>
            <w:shd w:val="clear" w:color="auto" w:fill="E5A5B4"/>
          </w:tcPr>
          <w:p w:rsidR="007C2AA7" w:rsidRPr="006E2A2C" w:rsidRDefault="007C2AA7" w:rsidP="007C2AA7">
            <w:pPr>
              <w:spacing w:line="480" w:lineRule="auto"/>
              <w:jc w:val="center"/>
            </w:pPr>
            <w:r w:rsidRPr="006E2A2C">
              <w:t>Positiva</w:t>
            </w:r>
          </w:p>
        </w:tc>
        <w:tc>
          <w:tcPr>
            <w:tcW w:w="3118"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61</w:t>
            </w:r>
          </w:p>
        </w:tc>
        <w:tc>
          <w:tcPr>
            <w:tcW w:w="2127" w:type="dxa"/>
          </w:tcPr>
          <w:p w:rsidR="007C2AA7" w:rsidRPr="001E20CD" w:rsidRDefault="007C2AA7" w:rsidP="007C2AA7">
            <w:pPr>
              <w:spacing w:line="480" w:lineRule="auto"/>
              <w:jc w:val="center"/>
              <w:cnfStyle w:val="000000000000" w:firstRow="0" w:lastRow="0" w:firstColumn="0" w:lastColumn="0" w:oddVBand="0" w:evenVBand="0" w:oddHBand="0" w:evenHBand="0" w:firstRowFirstColumn="0" w:firstRowLastColumn="0" w:lastRowFirstColumn="0" w:lastRowLastColumn="0"/>
            </w:pPr>
            <w:r>
              <w:t>82,4</w:t>
            </w:r>
          </w:p>
        </w:tc>
      </w:tr>
      <w:tr w:rsidR="007C2AA7" w:rsidRPr="001E20CD" w:rsidTr="006E2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E5A5B4"/>
          </w:tcPr>
          <w:p w:rsidR="007C2AA7" w:rsidRPr="006E2A2C" w:rsidRDefault="007C2AA7" w:rsidP="007C2AA7">
            <w:pPr>
              <w:spacing w:line="480" w:lineRule="auto"/>
              <w:jc w:val="center"/>
            </w:pPr>
            <w:r w:rsidRPr="006E2A2C">
              <w:t>Negativa</w:t>
            </w:r>
          </w:p>
        </w:tc>
        <w:tc>
          <w:tcPr>
            <w:tcW w:w="3118" w:type="dxa"/>
          </w:tcPr>
          <w:p w:rsidR="007C2AA7" w:rsidRPr="001E20CD" w:rsidRDefault="007C2AA7" w:rsidP="007C2AA7">
            <w:pPr>
              <w:spacing w:line="480" w:lineRule="auto"/>
              <w:jc w:val="center"/>
              <w:cnfStyle w:val="000000100000" w:firstRow="0" w:lastRow="0" w:firstColumn="0" w:lastColumn="0" w:oddVBand="0" w:evenVBand="0" w:oddHBand="1" w:evenHBand="0" w:firstRowFirstColumn="0" w:firstRowLastColumn="0" w:lastRowFirstColumn="0" w:lastRowLastColumn="0"/>
            </w:pPr>
            <w:r>
              <w:t>13</w:t>
            </w:r>
          </w:p>
        </w:tc>
        <w:tc>
          <w:tcPr>
            <w:tcW w:w="2127" w:type="dxa"/>
          </w:tcPr>
          <w:p w:rsidR="007C2AA7" w:rsidRPr="001E20CD" w:rsidRDefault="007C2AA7" w:rsidP="007C2AA7">
            <w:pPr>
              <w:spacing w:line="480" w:lineRule="auto"/>
              <w:jc w:val="center"/>
              <w:cnfStyle w:val="000000100000" w:firstRow="0" w:lastRow="0" w:firstColumn="0" w:lastColumn="0" w:oddVBand="0" w:evenVBand="0" w:oddHBand="1" w:evenHBand="0" w:firstRowFirstColumn="0" w:firstRowLastColumn="0" w:lastRowFirstColumn="0" w:lastRowLastColumn="0"/>
            </w:pPr>
            <w:r>
              <w:t>17,6</w:t>
            </w:r>
          </w:p>
        </w:tc>
      </w:tr>
    </w:tbl>
    <w:p w:rsidR="00206FE7" w:rsidRDefault="00D347DD" w:rsidP="00D347DD">
      <w:pPr>
        <w:spacing w:line="480" w:lineRule="auto"/>
        <w:rPr>
          <w:lang w:eastAsia="es-ES"/>
        </w:rPr>
      </w:pPr>
      <w:r w:rsidRPr="001E20CD">
        <w:rPr>
          <w:lang w:eastAsia="es-ES"/>
        </w:rPr>
        <w:t>Se revisaron los estudios de</w:t>
      </w:r>
      <w:r w:rsidR="00C439B8">
        <w:rPr>
          <w:lang w:eastAsia="es-ES"/>
        </w:rPr>
        <w:t xml:space="preserve"> </w:t>
      </w:r>
      <w:proofErr w:type="spellStart"/>
      <w:r w:rsidR="00C439B8">
        <w:rPr>
          <w:lang w:eastAsia="es-ES"/>
        </w:rPr>
        <w:t>coronariografías</w:t>
      </w:r>
      <w:proofErr w:type="spellEnd"/>
      <w:r w:rsidR="00C439B8">
        <w:rPr>
          <w:lang w:eastAsia="es-ES"/>
        </w:rPr>
        <w:t xml:space="preserve"> realizadas a</w:t>
      </w:r>
      <w:r w:rsidR="00DC1ACA">
        <w:rPr>
          <w:lang w:eastAsia="es-ES"/>
        </w:rPr>
        <w:t xml:space="preserve"> los 74 pacientes que presentaron resultados </w:t>
      </w:r>
      <w:r w:rsidR="00DC1ACA" w:rsidRPr="001E20CD">
        <w:rPr>
          <w:lang w:eastAsia="es-ES"/>
        </w:rPr>
        <w:t>positivos</w:t>
      </w:r>
      <w:r w:rsidR="00DC1ACA">
        <w:rPr>
          <w:lang w:eastAsia="es-ES"/>
        </w:rPr>
        <w:t xml:space="preserve"> en la</w:t>
      </w:r>
      <w:r w:rsidRPr="001E20CD">
        <w:rPr>
          <w:lang w:eastAsia="es-ES"/>
        </w:rPr>
        <w:t xml:space="preserve"> GPM positiva</w:t>
      </w:r>
      <w:r w:rsidR="00DC1ACA">
        <w:rPr>
          <w:lang w:eastAsia="es-ES"/>
        </w:rPr>
        <w:t xml:space="preserve">. </w:t>
      </w:r>
      <w:r>
        <w:rPr>
          <w:lang w:eastAsia="es-ES"/>
        </w:rPr>
        <w:t>Se le confirmaron</w:t>
      </w:r>
      <w:r w:rsidRPr="001E20CD">
        <w:rPr>
          <w:lang w:eastAsia="es-ES"/>
        </w:rPr>
        <w:t xml:space="preserve"> estenosis coronarias</w:t>
      </w:r>
      <w:r w:rsidR="00206FE7">
        <w:rPr>
          <w:lang w:eastAsia="es-ES"/>
        </w:rPr>
        <w:t xml:space="preserve"> </w:t>
      </w:r>
      <w:proofErr w:type="spellStart"/>
      <w:r w:rsidR="00206FE7">
        <w:rPr>
          <w:lang w:eastAsia="es-ES"/>
        </w:rPr>
        <w:t>epicárdicas</w:t>
      </w:r>
      <w:proofErr w:type="spellEnd"/>
      <w:r w:rsidR="00206FE7">
        <w:rPr>
          <w:lang w:eastAsia="es-ES"/>
        </w:rPr>
        <w:t xml:space="preserve"> ≥50% a 61</w:t>
      </w:r>
      <w:r w:rsidRPr="001E20CD">
        <w:rPr>
          <w:lang w:eastAsia="es-ES"/>
        </w:rPr>
        <w:t xml:space="preserve"> pacientes,</w:t>
      </w:r>
      <w:r w:rsidR="00206FE7">
        <w:rPr>
          <w:lang w:eastAsia="es-ES"/>
        </w:rPr>
        <w:t xml:space="preserve"> representando el 82,4%.</w:t>
      </w:r>
      <w:r w:rsidRPr="001E20CD">
        <w:rPr>
          <w:lang w:eastAsia="es-ES"/>
        </w:rPr>
        <w:t xml:space="preserve"> </w:t>
      </w:r>
      <w:r w:rsidR="00206FE7">
        <w:rPr>
          <w:lang w:eastAsia="es-ES"/>
        </w:rPr>
        <w:t xml:space="preserve"> A los </w:t>
      </w:r>
      <w:r w:rsidR="00C439B8">
        <w:rPr>
          <w:lang w:eastAsia="es-ES"/>
        </w:rPr>
        <w:t>13</w:t>
      </w:r>
      <w:r w:rsidRPr="001E20CD">
        <w:rPr>
          <w:lang w:eastAsia="es-ES"/>
        </w:rPr>
        <w:t xml:space="preserve"> pacientes </w:t>
      </w:r>
      <w:r w:rsidR="00206FE7">
        <w:rPr>
          <w:lang w:eastAsia="es-ES"/>
        </w:rPr>
        <w:t>restantes</w:t>
      </w:r>
      <w:r w:rsidRPr="001E20CD">
        <w:rPr>
          <w:lang w:eastAsia="es-ES"/>
        </w:rPr>
        <w:t xml:space="preserve"> sus lesiones no sobrepasaron el ≥50% de obstrucción coronaria </w:t>
      </w:r>
      <w:proofErr w:type="spellStart"/>
      <w:r w:rsidR="00206FE7">
        <w:rPr>
          <w:lang w:eastAsia="es-ES"/>
        </w:rPr>
        <w:t>epicárdicas</w:t>
      </w:r>
      <w:proofErr w:type="spellEnd"/>
      <w:r w:rsidR="00206FE7">
        <w:rPr>
          <w:lang w:eastAsia="es-ES"/>
        </w:rPr>
        <w:t xml:space="preserve"> </w:t>
      </w:r>
      <w:r w:rsidRPr="001E20CD">
        <w:rPr>
          <w:lang w:eastAsia="es-ES"/>
        </w:rPr>
        <w:t>y se informaron</w:t>
      </w:r>
      <w:r w:rsidR="00206FE7">
        <w:rPr>
          <w:lang w:eastAsia="es-ES"/>
        </w:rPr>
        <w:t xml:space="preserve"> como</w:t>
      </w:r>
      <w:r w:rsidRPr="001E20CD">
        <w:rPr>
          <w:lang w:eastAsia="es-ES"/>
        </w:rPr>
        <w:t xml:space="preserve"> negativas.</w:t>
      </w:r>
      <w:r w:rsidR="00206FE7">
        <w:rPr>
          <w:lang w:eastAsia="es-ES"/>
        </w:rPr>
        <w:t xml:space="preserve"> (tabla 5</w:t>
      </w:r>
      <w:r w:rsidR="00206FE7" w:rsidRPr="001E20CD">
        <w:rPr>
          <w:lang w:eastAsia="es-ES"/>
        </w:rPr>
        <w:t>)</w:t>
      </w:r>
    </w:p>
    <w:p w:rsidR="00F64D78" w:rsidRDefault="00804507" w:rsidP="007879B0">
      <w:pPr>
        <w:spacing w:line="480" w:lineRule="auto"/>
        <w:rPr>
          <w:lang w:eastAsia="es-ES"/>
        </w:rPr>
      </w:pPr>
      <w:r>
        <w:rPr>
          <w:lang w:eastAsia="es-ES"/>
        </w:rPr>
        <w:t>En el análisis estadístico se encontró una asociación significativa entre ambas varia</w:t>
      </w:r>
      <w:r w:rsidR="00F64D78">
        <w:rPr>
          <w:lang w:eastAsia="es-ES"/>
        </w:rPr>
        <w:t>bles con una p&lt;0,001</w:t>
      </w:r>
      <w:r w:rsidR="00E422C3">
        <w:rPr>
          <w:lang w:eastAsia="es-ES"/>
        </w:rPr>
        <w:t>.</w:t>
      </w:r>
    </w:p>
    <w:p w:rsidR="007879B0" w:rsidRDefault="007879B0" w:rsidP="007879B0">
      <w:pPr>
        <w:spacing w:line="480" w:lineRule="auto"/>
        <w:rPr>
          <w:lang w:eastAsia="es-ES"/>
        </w:rPr>
      </w:pPr>
      <w:r>
        <w:rPr>
          <w:lang w:eastAsia="es-ES"/>
        </w:rPr>
        <w:t>Tabla 6. Relación entre la evolución clínica en un año y el resultado de</w:t>
      </w:r>
      <w:r w:rsidRPr="001E20CD">
        <w:rPr>
          <w:lang w:eastAsia="es-ES"/>
        </w:rPr>
        <w:t xml:space="preserve"> la pe</w:t>
      </w:r>
      <w:r>
        <w:rPr>
          <w:lang w:eastAsia="es-ES"/>
        </w:rPr>
        <w:t xml:space="preserve">rfusión miocárdica. </w:t>
      </w:r>
    </w:p>
    <w:tbl>
      <w:tblPr>
        <w:tblStyle w:val="Tablanormal2"/>
        <w:tblW w:w="10082" w:type="dxa"/>
        <w:tblInd w:w="-1066" w:type="dxa"/>
        <w:tblLook w:val="04A0" w:firstRow="1" w:lastRow="0" w:firstColumn="1" w:lastColumn="0" w:noHBand="0" w:noVBand="1"/>
      </w:tblPr>
      <w:tblGrid>
        <w:gridCol w:w="1823"/>
        <w:gridCol w:w="1240"/>
        <w:gridCol w:w="2299"/>
        <w:gridCol w:w="1109"/>
        <w:gridCol w:w="1109"/>
        <w:gridCol w:w="1326"/>
        <w:gridCol w:w="1176"/>
      </w:tblGrid>
      <w:tr w:rsidR="007879B0" w:rsidTr="00D67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p>
        </w:tc>
        <w:tc>
          <w:tcPr>
            <w:tcW w:w="8241" w:type="dxa"/>
            <w:gridSpan w:val="6"/>
            <w:shd w:val="clear" w:color="auto" w:fill="E5A5B4"/>
          </w:tcPr>
          <w:p w:rsidR="007879B0" w:rsidRDefault="007879B0" w:rsidP="00D670B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Evolución clínica al año</w:t>
            </w:r>
          </w:p>
        </w:tc>
      </w:tr>
      <w:tr w:rsidR="007879B0" w:rsidTr="00D670B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41" w:type="dxa"/>
            <w:vMerge w:val="restart"/>
            <w:shd w:val="clear" w:color="auto" w:fill="E5A5B4"/>
          </w:tcPr>
          <w:p w:rsidR="007879B0" w:rsidRDefault="007879B0" w:rsidP="00D670B2">
            <w:pPr>
              <w:rPr>
                <w:rFonts w:ascii="Century Gothic" w:hAnsi="Century Gothic"/>
              </w:rPr>
            </w:pPr>
            <w:r>
              <w:rPr>
                <w:rFonts w:ascii="Century Gothic" w:hAnsi="Century Gothic"/>
              </w:rPr>
              <w:t>Perfusión miocárdica</w:t>
            </w:r>
          </w:p>
        </w:tc>
        <w:tc>
          <w:tcPr>
            <w:tcW w:w="1240"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No eventos clínicos </w:t>
            </w:r>
          </w:p>
        </w:tc>
        <w:tc>
          <w:tcPr>
            <w:tcW w:w="2280"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Revascularización </w:t>
            </w:r>
          </w:p>
        </w:tc>
        <w:tc>
          <w:tcPr>
            <w:tcW w:w="1109"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SCA</w:t>
            </w:r>
          </w:p>
        </w:tc>
        <w:tc>
          <w:tcPr>
            <w:tcW w:w="1109"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SCC</w:t>
            </w:r>
          </w:p>
        </w:tc>
        <w:tc>
          <w:tcPr>
            <w:tcW w:w="1327"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Muerte</w:t>
            </w:r>
          </w:p>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Cardiaca </w:t>
            </w:r>
          </w:p>
        </w:tc>
        <w:tc>
          <w:tcPr>
            <w:tcW w:w="1176"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Total </w:t>
            </w:r>
          </w:p>
        </w:tc>
      </w:tr>
      <w:tr w:rsidR="007879B0" w:rsidTr="00D670B2">
        <w:trPr>
          <w:trHeight w:val="263"/>
        </w:trPr>
        <w:tc>
          <w:tcPr>
            <w:cnfStyle w:val="001000000000" w:firstRow="0" w:lastRow="0" w:firstColumn="1" w:lastColumn="0" w:oddVBand="0" w:evenVBand="0" w:oddHBand="0" w:evenHBand="0" w:firstRowFirstColumn="0" w:firstRowLastColumn="0" w:lastRowFirstColumn="0" w:lastRowLastColumn="0"/>
            <w:tcW w:w="1841" w:type="dxa"/>
            <w:vMerge/>
          </w:tcPr>
          <w:p w:rsidR="007879B0" w:rsidRDefault="007879B0" w:rsidP="00D670B2">
            <w:pPr>
              <w:rPr>
                <w:rFonts w:ascii="Century Gothic" w:hAnsi="Century Gothic"/>
              </w:rPr>
            </w:pPr>
          </w:p>
        </w:tc>
        <w:tc>
          <w:tcPr>
            <w:tcW w:w="1240"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c>
          <w:tcPr>
            <w:tcW w:w="2280"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c>
          <w:tcPr>
            <w:tcW w:w="1109"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c>
          <w:tcPr>
            <w:tcW w:w="1109"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c>
          <w:tcPr>
            <w:tcW w:w="1327"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c>
          <w:tcPr>
            <w:tcW w:w="1176" w:type="dxa"/>
          </w:tcPr>
          <w:p w:rsidR="007879B0" w:rsidRPr="006E2A2C"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E2A2C">
              <w:rPr>
                <w:rFonts w:ascii="Century Gothic" w:hAnsi="Century Gothic"/>
              </w:rPr>
              <w:t>n(%)</w:t>
            </w:r>
          </w:p>
        </w:tc>
      </w:tr>
      <w:tr w:rsidR="007879B0" w:rsidTr="00D6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r>
              <w:rPr>
                <w:rFonts w:ascii="Century Gothic" w:hAnsi="Century Gothic"/>
              </w:rPr>
              <w:t xml:space="preserve">Positiva </w:t>
            </w:r>
          </w:p>
          <w:p w:rsidR="007879B0" w:rsidRDefault="007879B0" w:rsidP="00D670B2">
            <w:pPr>
              <w:rPr>
                <w:rFonts w:ascii="Century Gothic" w:hAnsi="Century Gothic"/>
              </w:rPr>
            </w:pPr>
          </w:p>
        </w:tc>
        <w:tc>
          <w:tcPr>
            <w:tcW w:w="124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2(2,7)</w:t>
            </w:r>
          </w:p>
        </w:tc>
        <w:tc>
          <w:tcPr>
            <w:tcW w:w="228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32(43,2)</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14(18,9)</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26(35,1)</w:t>
            </w:r>
          </w:p>
        </w:tc>
        <w:tc>
          <w:tcPr>
            <w:tcW w:w="1327"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0(0)</w:t>
            </w:r>
          </w:p>
        </w:tc>
        <w:tc>
          <w:tcPr>
            <w:tcW w:w="1176"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74(100)</w:t>
            </w:r>
          </w:p>
        </w:tc>
      </w:tr>
      <w:tr w:rsidR="007879B0" w:rsidTr="00D670B2">
        <w:trPr>
          <w:trHeight w:val="625"/>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r>
              <w:rPr>
                <w:rFonts w:ascii="Century Gothic" w:hAnsi="Century Gothic"/>
              </w:rPr>
              <w:t xml:space="preserve">Negativa </w:t>
            </w:r>
          </w:p>
        </w:tc>
        <w:tc>
          <w:tcPr>
            <w:tcW w:w="1240"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103(97,2)</w:t>
            </w:r>
          </w:p>
        </w:tc>
        <w:tc>
          <w:tcPr>
            <w:tcW w:w="2280"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0(0)</w:t>
            </w:r>
          </w:p>
        </w:tc>
        <w:tc>
          <w:tcPr>
            <w:tcW w:w="1109"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0(0)</w:t>
            </w:r>
          </w:p>
        </w:tc>
        <w:tc>
          <w:tcPr>
            <w:tcW w:w="1109"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3(2,8)</w:t>
            </w:r>
          </w:p>
        </w:tc>
        <w:tc>
          <w:tcPr>
            <w:tcW w:w="1327"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0(0)</w:t>
            </w:r>
          </w:p>
        </w:tc>
        <w:tc>
          <w:tcPr>
            <w:tcW w:w="1176"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106(100)</w:t>
            </w:r>
          </w:p>
        </w:tc>
      </w:tr>
    </w:tbl>
    <w:p w:rsidR="00976A37" w:rsidRDefault="00B973E7" w:rsidP="00C439B8">
      <w:pPr>
        <w:spacing w:line="480" w:lineRule="auto"/>
        <w:rPr>
          <w:lang w:eastAsia="es-ES"/>
        </w:rPr>
      </w:pPr>
      <w:r>
        <w:rPr>
          <w:lang w:eastAsia="es-ES"/>
        </w:rPr>
        <w:lastRenderedPageBreak/>
        <w:t xml:space="preserve">A los pacientes con estudios normales de perfusión miocárdica no se les realizó otros exámenes invasivos de diagnóstico de la EAC. Por este motivo se le realizó una evaluación </w:t>
      </w:r>
      <w:r w:rsidR="00194B4F">
        <w:rPr>
          <w:lang w:eastAsia="es-ES"/>
        </w:rPr>
        <w:t>clínica</w:t>
      </w:r>
      <w:r>
        <w:rPr>
          <w:lang w:eastAsia="es-ES"/>
        </w:rPr>
        <w:t xml:space="preserve"> al año de realizada la PM a todos los pacientes</w:t>
      </w:r>
      <w:r w:rsidR="00194B4F">
        <w:rPr>
          <w:lang w:eastAsia="es-ES"/>
        </w:rPr>
        <w:t>, obteniéndose los siguientes resultados mostrados en la t</w:t>
      </w:r>
      <w:r w:rsidR="00976A37">
        <w:rPr>
          <w:lang w:eastAsia="es-ES"/>
        </w:rPr>
        <w:t xml:space="preserve">abla </w:t>
      </w:r>
      <w:r w:rsidR="00194B4F">
        <w:rPr>
          <w:lang w:eastAsia="es-ES"/>
        </w:rPr>
        <w:t xml:space="preserve">6. </w:t>
      </w:r>
      <w:r w:rsidR="00976A37">
        <w:rPr>
          <w:lang w:eastAsia="es-ES"/>
        </w:rPr>
        <w:t xml:space="preserve"> E</w:t>
      </w:r>
      <w:r w:rsidR="00830171">
        <w:rPr>
          <w:lang w:eastAsia="es-ES"/>
        </w:rPr>
        <w:t>n la misma se demuestra</w:t>
      </w:r>
      <w:r w:rsidR="00194B4F">
        <w:rPr>
          <w:lang w:eastAsia="es-ES"/>
        </w:rPr>
        <w:t xml:space="preserve"> que</w:t>
      </w:r>
      <w:r w:rsidR="006820DC">
        <w:rPr>
          <w:lang w:eastAsia="es-ES"/>
        </w:rPr>
        <w:t xml:space="preserve"> el 97,2</w:t>
      </w:r>
      <w:r w:rsidR="00976A37">
        <w:rPr>
          <w:lang w:eastAsia="es-ES"/>
        </w:rPr>
        <w:t xml:space="preserve"> % de los pacientes con perfusiones</w:t>
      </w:r>
      <w:r w:rsidR="006C4C44">
        <w:rPr>
          <w:lang w:eastAsia="es-ES"/>
        </w:rPr>
        <w:t xml:space="preserve"> miocárdicas negativas </w:t>
      </w:r>
      <w:r w:rsidR="00194B4F">
        <w:rPr>
          <w:lang w:eastAsia="es-ES"/>
        </w:rPr>
        <w:t>no</w:t>
      </w:r>
      <w:r w:rsidR="006C4C44">
        <w:rPr>
          <w:lang w:eastAsia="es-ES"/>
        </w:rPr>
        <w:t xml:space="preserve"> presentaron</w:t>
      </w:r>
      <w:r w:rsidR="0027377D">
        <w:rPr>
          <w:lang w:eastAsia="es-ES"/>
        </w:rPr>
        <w:t xml:space="preserve"> eventos isquémicos</w:t>
      </w:r>
      <w:r w:rsidR="00194B4F">
        <w:rPr>
          <w:lang w:eastAsia="es-ES"/>
        </w:rPr>
        <w:t>,</w:t>
      </w:r>
      <w:r w:rsidR="006820DC">
        <w:rPr>
          <w:lang w:eastAsia="es-ES"/>
        </w:rPr>
        <w:t xml:space="preserve"> reportándose solo en el 2,8 </w:t>
      </w:r>
      <w:r w:rsidR="0027377D">
        <w:rPr>
          <w:lang w:eastAsia="es-ES"/>
        </w:rPr>
        <w:t>% cuadros clínicos compatibles con síndromes cor</w:t>
      </w:r>
      <w:r w:rsidR="00194B4F">
        <w:rPr>
          <w:lang w:eastAsia="es-ES"/>
        </w:rPr>
        <w:t>onarios crónicos</w:t>
      </w:r>
      <w:r w:rsidR="00976A37">
        <w:rPr>
          <w:lang w:eastAsia="es-ES"/>
        </w:rPr>
        <w:t>.</w:t>
      </w:r>
      <w:r w:rsidR="00194B4F">
        <w:rPr>
          <w:lang w:eastAsia="es-ES"/>
        </w:rPr>
        <w:t xml:space="preserve"> Evi</w:t>
      </w:r>
      <w:r w:rsidR="00377C46">
        <w:rPr>
          <w:lang w:eastAsia="es-ES"/>
        </w:rPr>
        <w:t>denciándose en un alto porcentaje</w:t>
      </w:r>
      <w:r w:rsidR="00194B4F">
        <w:rPr>
          <w:lang w:eastAsia="es-ES"/>
        </w:rPr>
        <w:t xml:space="preserve"> de seguridad </w:t>
      </w:r>
      <w:proofErr w:type="spellStart"/>
      <w:r w:rsidR="00194B4F">
        <w:rPr>
          <w:lang w:eastAsia="es-ES"/>
        </w:rPr>
        <w:t>pronóstica</w:t>
      </w:r>
      <w:proofErr w:type="spellEnd"/>
      <w:r w:rsidR="00194B4F">
        <w:rPr>
          <w:lang w:eastAsia="es-ES"/>
        </w:rPr>
        <w:t xml:space="preserve"> en</w:t>
      </w:r>
      <w:r w:rsidR="008B0B3F">
        <w:rPr>
          <w:lang w:eastAsia="es-ES"/>
        </w:rPr>
        <w:t xml:space="preserve"> no desarrollar eventos isquémicos futuros con el</w:t>
      </w:r>
      <w:r w:rsidR="0027377D">
        <w:rPr>
          <w:lang w:eastAsia="es-ES"/>
        </w:rPr>
        <w:t xml:space="preserve"> diagnóstico negativo de isquemia en la perfusión miocárdica</w:t>
      </w:r>
      <w:r w:rsidR="008B0B3F">
        <w:rPr>
          <w:lang w:eastAsia="es-ES"/>
        </w:rPr>
        <w:t>.</w:t>
      </w:r>
    </w:p>
    <w:p w:rsidR="008E073B" w:rsidRDefault="00194B4F" w:rsidP="00C439B8">
      <w:pPr>
        <w:spacing w:line="480" w:lineRule="auto"/>
        <w:rPr>
          <w:lang w:eastAsia="es-ES"/>
        </w:rPr>
      </w:pPr>
      <w:r>
        <w:rPr>
          <w:lang w:eastAsia="es-ES"/>
        </w:rPr>
        <w:t>De</w:t>
      </w:r>
      <w:r w:rsidR="00976A37">
        <w:rPr>
          <w:lang w:eastAsia="es-ES"/>
        </w:rPr>
        <w:t xml:space="preserve"> los pacientes con perfusiones miocárdicas positivas</w:t>
      </w:r>
      <w:r>
        <w:rPr>
          <w:lang w:eastAsia="es-ES"/>
        </w:rPr>
        <w:t xml:space="preserve">, el 97,3% presentaron eventos isquémicos durante ese año después de la PM. La necesidad de revascularización coronaria para restaurar las zonas isquémicas </w:t>
      </w:r>
      <w:r w:rsidR="006F67A8">
        <w:rPr>
          <w:lang w:eastAsia="es-ES"/>
        </w:rPr>
        <w:t>del mú</w:t>
      </w:r>
      <w:r>
        <w:rPr>
          <w:lang w:eastAsia="es-ES"/>
        </w:rPr>
        <w:t xml:space="preserve">sculo cardiaco se </w:t>
      </w:r>
      <w:r w:rsidR="006F67A8">
        <w:rPr>
          <w:lang w:eastAsia="es-ES"/>
        </w:rPr>
        <w:t>presentó en el 43,2%. Seguidamente se registraron eventos coronarios crónicos en el 35,1% y síndromes coronarios agudos en el 18,9%. No se registraron muertes cardiacas en este estudi</w:t>
      </w:r>
      <w:r w:rsidR="00B577B7">
        <w:rPr>
          <w:lang w:eastAsia="es-ES"/>
        </w:rPr>
        <w:t xml:space="preserve">o durante el periodo estudiado </w:t>
      </w:r>
      <w:r w:rsidR="006F67A8">
        <w:rPr>
          <w:lang w:eastAsia="es-ES"/>
        </w:rPr>
        <w:t>(tabla 6)</w:t>
      </w:r>
      <w:r w:rsidR="00B577B7">
        <w:rPr>
          <w:lang w:eastAsia="es-ES"/>
        </w:rPr>
        <w:t>. En el análisis estadístico se encontró una asociación significativa entre ambas variables con una p&lt;0,001.</w:t>
      </w:r>
    </w:p>
    <w:p w:rsidR="008B0B3F" w:rsidRDefault="008B0B3F" w:rsidP="00C439B8">
      <w:pPr>
        <w:spacing w:line="480" w:lineRule="auto"/>
        <w:rPr>
          <w:lang w:eastAsia="es-ES"/>
        </w:rPr>
      </w:pPr>
      <w:r>
        <w:rPr>
          <w:lang w:eastAsia="es-ES"/>
        </w:rPr>
        <w:t>En los estudios de perfusión miocárdica tenemos varias variabl</w:t>
      </w:r>
      <w:r w:rsidR="001C3902">
        <w:rPr>
          <w:lang w:eastAsia="es-ES"/>
        </w:rPr>
        <w:t xml:space="preserve">es que nos muestran la severidad de la isquemia y el compromiso de la función ventricular. Estas se convierten en variables </w:t>
      </w:r>
      <w:proofErr w:type="spellStart"/>
      <w:r w:rsidR="001C3902">
        <w:rPr>
          <w:lang w:eastAsia="es-ES"/>
        </w:rPr>
        <w:t>pronósticas</w:t>
      </w:r>
      <w:proofErr w:type="spellEnd"/>
      <w:r w:rsidR="001C3902">
        <w:rPr>
          <w:lang w:eastAsia="es-ES"/>
        </w:rPr>
        <w:t xml:space="preserve"> de la salud cardiovascular en un plazo de tiempo que se puede revertir si se toman medidas terapéuticas adecuadas para cada caso.</w:t>
      </w:r>
    </w:p>
    <w:p w:rsidR="007879B0" w:rsidRDefault="007879B0" w:rsidP="007879B0">
      <w:pPr>
        <w:spacing w:line="480" w:lineRule="auto"/>
        <w:rPr>
          <w:lang w:eastAsia="es-ES"/>
        </w:rPr>
      </w:pPr>
    </w:p>
    <w:p w:rsidR="007879B0" w:rsidRDefault="007879B0" w:rsidP="007879B0">
      <w:pPr>
        <w:spacing w:line="480" w:lineRule="auto"/>
        <w:rPr>
          <w:lang w:eastAsia="es-ES"/>
        </w:rPr>
      </w:pPr>
      <w:r>
        <w:rPr>
          <w:lang w:eastAsia="es-ES"/>
        </w:rPr>
        <w:lastRenderedPageBreak/>
        <w:t>Tabla 7. Relación entre la evolución clínica en un año y la c</w:t>
      </w:r>
      <w:r w:rsidR="00D05E87">
        <w:rPr>
          <w:lang w:eastAsia="es-ES"/>
        </w:rPr>
        <w:t xml:space="preserve">aída de la FEVI </w:t>
      </w:r>
      <w:proofErr w:type="spellStart"/>
      <w:r w:rsidR="00D05E87">
        <w:rPr>
          <w:lang w:eastAsia="es-ES"/>
        </w:rPr>
        <w:t>postestrés</w:t>
      </w:r>
      <w:proofErr w:type="spellEnd"/>
      <w:r>
        <w:rPr>
          <w:lang w:eastAsia="es-ES"/>
        </w:rPr>
        <w:t xml:space="preserve">. </w:t>
      </w:r>
    </w:p>
    <w:tbl>
      <w:tblPr>
        <w:tblStyle w:val="Tablanormal2"/>
        <w:tblW w:w="10082" w:type="dxa"/>
        <w:jc w:val="center"/>
        <w:tblLook w:val="04A0" w:firstRow="1" w:lastRow="0" w:firstColumn="1" w:lastColumn="0" w:noHBand="0" w:noVBand="1"/>
      </w:tblPr>
      <w:tblGrid>
        <w:gridCol w:w="1829"/>
        <w:gridCol w:w="1237"/>
        <w:gridCol w:w="2299"/>
        <w:gridCol w:w="1105"/>
        <w:gridCol w:w="1109"/>
        <w:gridCol w:w="1327"/>
        <w:gridCol w:w="1176"/>
      </w:tblGrid>
      <w:tr w:rsidR="006E2A2C" w:rsidTr="00D670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p>
        </w:tc>
        <w:tc>
          <w:tcPr>
            <w:tcW w:w="8241" w:type="dxa"/>
            <w:gridSpan w:val="6"/>
            <w:shd w:val="clear" w:color="auto" w:fill="E5A5B4"/>
          </w:tcPr>
          <w:p w:rsidR="007879B0" w:rsidRDefault="007879B0" w:rsidP="00D670B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Evolución clínica al año</w:t>
            </w:r>
          </w:p>
        </w:tc>
      </w:tr>
      <w:tr w:rsidR="007879B0" w:rsidTr="00D670B2">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1841" w:type="dxa"/>
            <w:vMerge w:val="restart"/>
            <w:shd w:val="clear" w:color="auto" w:fill="E5A5B4"/>
          </w:tcPr>
          <w:p w:rsidR="007879B0" w:rsidRDefault="00D05E87" w:rsidP="00D670B2">
            <w:pPr>
              <w:rPr>
                <w:rFonts w:ascii="Century Gothic" w:hAnsi="Century Gothic"/>
              </w:rPr>
            </w:pPr>
            <w:r>
              <w:rPr>
                <w:rFonts w:ascii="Century Gothic" w:hAnsi="Century Gothic"/>
              </w:rPr>
              <w:t xml:space="preserve">Caída de la FEVI </w:t>
            </w:r>
            <w:proofErr w:type="spellStart"/>
            <w:r>
              <w:rPr>
                <w:rFonts w:ascii="Century Gothic" w:hAnsi="Century Gothic"/>
              </w:rPr>
              <w:t>post</w:t>
            </w:r>
            <w:r w:rsidR="007879B0">
              <w:rPr>
                <w:rFonts w:ascii="Century Gothic" w:hAnsi="Century Gothic"/>
              </w:rPr>
              <w:t>estrés</w:t>
            </w:r>
            <w:proofErr w:type="spellEnd"/>
            <w:r w:rsidR="007879B0">
              <w:rPr>
                <w:rFonts w:ascii="Century Gothic" w:hAnsi="Century Gothic"/>
              </w:rPr>
              <w:t xml:space="preserve">. </w:t>
            </w:r>
          </w:p>
        </w:tc>
        <w:tc>
          <w:tcPr>
            <w:tcW w:w="1240"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No eventos clínicos </w:t>
            </w:r>
          </w:p>
        </w:tc>
        <w:tc>
          <w:tcPr>
            <w:tcW w:w="2280"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Revascularización </w:t>
            </w:r>
          </w:p>
        </w:tc>
        <w:tc>
          <w:tcPr>
            <w:tcW w:w="1109"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SCA</w:t>
            </w:r>
          </w:p>
        </w:tc>
        <w:tc>
          <w:tcPr>
            <w:tcW w:w="1109"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SCC</w:t>
            </w:r>
          </w:p>
        </w:tc>
        <w:tc>
          <w:tcPr>
            <w:tcW w:w="1327"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Muerte</w:t>
            </w:r>
          </w:p>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Cardiaca </w:t>
            </w:r>
          </w:p>
        </w:tc>
        <w:tc>
          <w:tcPr>
            <w:tcW w:w="1176" w:type="dxa"/>
            <w:shd w:val="clear" w:color="auto" w:fill="E5A5B4"/>
          </w:tcPr>
          <w:p w:rsidR="007879B0" w:rsidRPr="006E2A2C"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E2A2C">
              <w:rPr>
                <w:rFonts w:ascii="Century Gothic" w:hAnsi="Century Gothic"/>
                <w:b/>
              </w:rPr>
              <w:t xml:space="preserve">Total </w:t>
            </w:r>
          </w:p>
        </w:tc>
      </w:tr>
      <w:tr w:rsidR="007879B0" w:rsidTr="00D670B2">
        <w:trPr>
          <w:trHeight w:val="263"/>
          <w:jc w:val="center"/>
        </w:trPr>
        <w:tc>
          <w:tcPr>
            <w:cnfStyle w:val="001000000000" w:firstRow="0" w:lastRow="0" w:firstColumn="1" w:lastColumn="0" w:oddVBand="0" w:evenVBand="0" w:oddHBand="0" w:evenHBand="0" w:firstRowFirstColumn="0" w:firstRowLastColumn="0" w:lastRowFirstColumn="0" w:lastRowLastColumn="0"/>
            <w:tcW w:w="1841" w:type="dxa"/>
            <w:vMerge/>
          </w:tcPr>
          <w:p w:rsidR="007879B0" w:rsidRDefault="007879B0" w:rsidP="00D670B2">
            <w:pPr>
              <w:rPr>
                <w:rFonts w:ascii="Century Gothic" w:hAnsi="Century Gothic"/>
              </w:rPr>
            </w:pPr>
          </w:p>
        </w:tc>
        <w:tc>
          <w:tcPr>
            <w:tcW w:w="1240"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c>
          <w:tcPr>
            <w:tcW w:w="2280"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c>
          <w:tcPr>
            <w:tcW w:w="1109"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c>
          <w:tcPr>
            <w:tcW w:w="1109"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c>
          <w:tcPr>
            <w:tcW w:w="1327"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c>
          <w:tcPr>
            <w:tcW w:w="1176" w:type="dxa"/>
          </w:tcPr>
          <w:p w:rsidR="007879B0" w:rsidRDefault="007879B0" w:rsidP="00D670B2">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w:t>
            </w:r>
          </w:p>
        </w:tc>
      </w:tr>
      <w:tr w:rsidR="007879B0" w:rsidTr="00D670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r>
              <w:rPr>
                <w:rFonts w:ascii="Century Gothic" w:hAnsi="Century Gothic"/>
              </w:rPr>
              <w:t xml:space="preserve">No caída </w:t>
            </w:r>
          </w:p>
          <w:p w:rsidR="007879B0" w:rsidRDefault="007879B0" w:rsidP="00D670B2">
            <w:pPr>
              <w:rPr>
                <w:rFonts w:ascii="Century Gothic" w:hAnsi="Century Gothic"/>
              </w:rPr>
            </w:pPr>
          </w:p>
        </w:tc>
        <w:tc>
          <w:tcPr>
            <w:tcW w:w="124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97(92,4)</w:t>
            </w:r>
          </w:p>
        </w:tc>
        <w:tc>
          <w:tcPr>
            <w:tcW w:w="228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2(1,9)</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1(1,0)</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5(4,8)</w:t>
            </w:r>
          </w:p>
        </w:tc>
        <w:tc>
          <w:tcPr>
            <w:tcW w:w="1327"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0(0)</w:t>
            </w:r>
          </w:p>
        </w:tc>
        <w:tc>
          <w:tcPr>
            <w:tcW w:w="1176"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105(100)</w:t>
            </w:r>
          </w:p>
        </w:tc>
      </w:tr>
      <w:tr w:rsidR="007879B0" w:rsidTr="00D670B2">
        <w:trPr>
          <w:trHeight w:val="625"/>
          <w:jc w:val="center"/>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r>
              <w:rPr>
                <w:rFonts w:ascii="Century Gothic" w:hAnsi="Century Gothic"/>
              </w:rPr>
              <w:t>Menor 10%</w:t>
            </w:r>
          </w:p>
        </w:tc>
        <w:tc>
          <w:tcPr>
            <w:tcW w:w="1240"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8(12,5)</w:t>
            </w:r>
          </w:p>
        </w:tc>
        <w:tc>
          <w:tcPr>
            <w:tcW w:w="2280"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23(35,9)</w:t>
            </w:r>
          </w:p>
        </w:tc>
        <w:tc>
          <w:tcPr>
            <w:tcW w:w="1109"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9(14,1)</w:t>
            </w:r>
          </w:p>
        </w:tc>
        <w:tc>
          <w:tcPr>
            <w:tcW w:w="1109"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24(37,5)</w:t>
            </w:r>
          </w:p>
        </w:tc>
        <w:tc>
          <w:tcPr>
            <w:tcW w:w="1327"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0(0)</w:t>
            </w:r>
          </w:p>
        </w:tc>
        <w:tc>
          <w:tcPr>
            <w:tcW w:w="1176" w:type="dxa"/>
          </w:tcPr>
          <w:p w:rsidR="007879B0" w:rsidRDefault="007879B0" w:rsidP="00D670B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64(100)</w:t>
            </w:r>
          </w:p>
        </w:tc>
      </w:tr>
      <w:tr w:rsidR="007879B0" w:rsidTr="00D670B2">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1841" w:type="dxa"/>
            <w:shd w:val="clear" w:color="auto" w:fill="E5A5B4"/>
          </w:tcPr>
          <w:p w:rsidR="007879B0" w:rsidRDefault="007879B0" w:rsidP="00D670B2">
            <w:pPr>
              <w:rPr>
                <w:rFonts w:ascii="Century Gothic" w:hAnsi="Century Gothic"/>
              </w:rPr>
            </w:pPr>
            <w:r>
              <w:rPr>
                <w:rFonts w:ascii="Century Gothic" w:hAnsi="Century Gothic"/>
              </w:rPr>
              <w:t>Mayor 10%</w:t>
            </w:r>
          </w:p>
        </w:tc>
        <w:tc>
          <w:tcPr>
            <w:tcW w:w="124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0(0)</w:t>
            </w:r>
          </w:p>
        </w:tc>
        <w:tc>
          <w:tcPr>
            <w:tcW w:w="2280"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7(63,9)</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4(36,4)</w:t>
            </w:r>
          </w:p>
        </w:tc>
        <w:tc>
          <w:tcPr>
            <w:tcW w:w="1109"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0(0)</w:t>
            </w:r>
          </w:p>
        </w:tc>
        <w:tc>
          <w:tcPr>
            <w:tcW w:w="1327"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0(0)</w:t>
            </w:r>
          </w:p>
        </w:tc>
        <w:tc>
          <w:tcPr>
            <w:tcW w:w="1176" w:type="dxa"/>
          </w:tcPr>
          <w:p w:rsidR="007879B0" w:rsidRDefault="007879B0" w:rsidP="00D670B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11(100)</w:t>
            </w:r>
          </w:p>
        </w:tc>
      </w:tr>
    </w:tbl>
    <w:p w:rsidR="007879B0" w:rsidRDefault="007879B0" w:rsidP="00C439B8">
      <w:pPr>
        <w:spacing w:line="480" w:lineRule="auto"/>
        <w:rPr>
          <w:lang w:eastAsia="es-ES"/>
        </w:rPr>
      </w:pPr>
    </w:p>
    <w:p w:rsidR="001C3902" w:rsidRDefault="001C3902" w:rsidP="00C439B8">
      <w:pPr>
        <w:spacing w:line="480" w:lineRule="auto"/>
        <w:rPr>
          <w:lang w:eastAsia="es-ES"/>
        </w:rPr>
      </w:pPr>
      <w:r>
        <w:rPr>
          <w:lang w:eastAsia="es-ES"/>
        </w:rPr>
        <w:t>En nuestro estudio s</w:t>
      </w:r>
      <w:r w:rsidR="00C439B8">
        <w:rPr>
          <w:lang w:eastAsia="es-ES"/>
        </w:rPr>
        <w:t xml:space="preserve">e </w:t>
      </w:r>
      <w:r w:rsidR="007A24AD">
        <w:rPr>
          <w:lang w:eastAsia="es-ES"/>
        </w:rPr>
        <w:t>analizó</w:t>
      </w:r>
      <w:r w:rsidR="00C439B8">
        <w:rPr>
          <w:lang w:eastAsia="es-ES"/>
        </w:rPr>
        <w:t xml:space="preserve"> la variable de la caída </w:t>
      </w:r>
      <w:r w:rsidR="007A24AD">
        <w:rPr>
          <w:lang w:eastAsia="es-ES"/>
        </w:rPr>
        <w:t>de la FE</w:t>
      </w:r>
      <w:r w:rsidR="00D05E87">
        <w:rPr>
          <w:lang w:eastAsia="es-ES"/>
        </w:rPr>
        <w:t xml:space="preserve">VI </w:t>
      </w:r>
      <w:proofErr w:type="spellStart"/>
      <w:r w:rsidR="00D05E87">
        <w:rPr>
          <w:lang w:eastAsia="es-ES"/>
        </w:rPr>
        <w:t>postestrés</w:t>
      </w:r>
      <w:proofErr w:type="spellEnd"/>
      <w:r w:rsidR="00C66FFB">
        <w:rPr>
          <w:lang w:eastAsia="es-ES"/>
        </w:rPr>
        <w:t>, obtenida del estudio de</w:t>
      </w:r>
      <w:r w:rsidR="007A24AD">
        <w:rPr>
          <w:lang w:eastAsia="es-ES"/>
        </w:rPr>
        <w:t xml:space="preserve"> perfusión miocárdica y se relacionó con la evolución clínica </w:t>
      </w:r>
      <w:r w:rsidR="00084E25">
        <w:rPr>
          <w:lang w:eastAsia="es-ES"/>
        </w:rPr>
        <w:t>al año del estudio, como lo demuestra la tabla 7.</w:t>
      </w:r>
      <w:r w:rsidR="00C66FFB">
        <w:rPr>
          <w:lang w:eastAsia="es-ES"/>
        </w:rPr>
        <w:t xml:space="preserve"> Se obtuvieron los</w:t>
      </w:r>
      <w:r w:rsidR="007A24AD">
        <w:rPr>
          <w:lang w:eastAsia="es-ES"/>
        </w:rPr>
        <w:t xml:space="preserve"> siguiente</w:t>
      </w:r>
      <w:r w:rsidR="00C66FFB">
        <w:rPr>
          <w:lang w:eastAsia="es-ES"/>
        </w:rPr>
        <w:t>s</w:t>
      </w:r>
      <w:r w:rsidR="007A24AD">
        <w:rPr>
          <w:lang w:eastAsia="es-ES"/>
        </w:rPr>
        <w:t xml:space="preserve"> resultado</w:t>
      </w:r>
      <w:r w:rsidR="00C66FFB">
        <w:rPr>
          <w:lang w:eastAsia="es-ES"/>
        </w:rPr>
        <w:t>s</w:t>
      </w:r>
      <w:r w:rsidR="007A24AD">
        <w:rPr>
          <w:lang w:eastAsia="es-ES"/>
        </w:rPr>
        <w:t>:</w:t>
      </w:r>
    </w:p>
    <w:p w:rsidR="001C3902" w:rsidRDefault="001C3902" w:rsidP="00C439B8">
      <w:pPr>
        <w:spacing w:line="480" w:lineRule="auto"/>
        <w:rPr>
          <w:lang w:eastAsia="es-ES"/>
        </w:rPr>
      </w:pPr>
      <w:r>
        <w:rPr>
          <w:lang w:eastAsia="es-ES"/>
        </w:rPr>
        <w:t>E</w:t>
      </w:r>
      <w:r w:rsidR="00C66FFB">
        <w:rPr>
          <w:lang w:eastAsia="es-ES"/>
        </w:rPr>
        <w:t>n el</w:t>
      </w:r>
      <w:r>
        <w:rPr>
          <w:lang w:eastAsia="es-ES"/>
        </w:rPr>
        <w:t xml:space="preserve"> grupo de pacientes que no tuvo caída de la FEVI durante el estrés comparado c</w:t>
      </w:r>
      <w:r w:rsidR="00D320C2">
        <w:rPr>
          <w:lang w:eastAsia="es-ES"/>
        </w:rPr>
        <w:t>on el reposo</w:t>
      </w:r>
      <w:r w:rsidR="00C66FFB">
        <w:rPr>
          <w:lang w:eastAsia="es-ES"/>
        </w:rPr>
        <w:t xml:space="preserve"> y no presentó eventos isquémicos durante un año representó el 92,4%. Registrándose estos eventos solo en el 7,6%, demostrando</w:t>
      </w:r>
      <w:r w:rsidR="00D320C2">
        <w:rPr>
          <w:lang w:eastAsia="es-ES"/>
        </w:rPr>
        <w:t xml:space="preserve"> el valor pronó</w:t>
      </w:r>
      <w:r w:rsidR="00C66FFB">
        <w:rPr>
          <w:lang w:eastAsia="es-ES"/>
        </w:rPr>
        <w:t>stico de esta</w:t>
      </w:r>
      <w:r>
        <w:rPr>
          <w:lang w:eastAsia="es-ES"/>
        </w:rPr>
        <w:t xml:space="preserve"> esta variable.</w:t>
      </w:r>
    </w:p>
    <w:p w:rsidR="00FD7BC9" w:rsidRDefault="00D320C2" w:rsidP="00C439B8">
      <w:pPr>
        <w:spacing w:line="480" w:lineRule="auto"/>
        <w:rPr>
          <w:lang w:eastAsia="es-ES"/>
        </w:rPr>
      </w:pPr>
      <w:r>
        <w:rPr>
          <w:lang w:eastAsia="es-ES"/>
        </w:rPr>
        <w:t xml:space="preserve"> En el grupo de pacientes con una caída menor del 10% de la</w:t>
      </w:r>
      <w:r w:rsidR="00084E25">
        <w:rPr>
          <w:lang w:eastAsia="es-ES"/>
        </w:rPr>
        <w:t xml:space="preserve"> FEVI, el 87,5% presentaron algún evento isquémico durante este año como síndromes coronarios agudos y crónicos; además de requerir</w:t>
      </w:r>
      <w:r>
        <w:rPr>
          <w:lang w:eastAsia="es-ES"/>
        </w:rPr>
        <w:t xml:space="preserve"> revascularizaciones coronarias</w:t>
      </w:r>
      <w:r w:rsidR="00084E25">
        <w:rPr>
          <w:lang w:eastAsia="es-ES"/>
        </w:rPr>
        <w:t xml:space="preserve"> el 35,9%</w:t>
      </w:r>
      <w:r w:rsidR="005944F6">
        <w:rPr>
          <w:lang w:eastAsia="es-ES"/>
        </w:rPr>
        <w:t>. Un porcentaje mínimo</w:t>
      </w:r>
      <w:r w:rsidR="00084E25">
        <w:rPr>
          <w:lang w:eastAsia="es-ES"/>
        </w:rPr>
        <w:t>, el 12,8%,</w:t>
      </w:r>
      <w:r w:rsidR="005944F6">
        <w:rPr>
          <w:lang w:eastAsia="es-ES"/>
        </w:rPr>
        <w:t xml:space="preserve"> no tuvo eventos isquémicos, por lo que se demostró en este grupo la </w:t>
      </w:r>
      <w:r>
        <w:rPr>
          <w:lang w:eastAsia="es-ES"/>
        </w:rPr>
        <w:t>presencia y ligera extensión de la isquemia miocárdica.</w:t>
      </w:r>
    </w:p>
    <w:p w:rsidR="00D320C2" w:rsidRDefault="00D320C2" w:rsidP="00C439B8">
      <w:pPr>
        <w:spacing w:line="480" w:lineRule="auto"/>
        <w:rPr>
          <w:lang w:eastAsia="es-ES"/>
        </w:rPr>
      </w:pPr>
      <w:r>
        <w:rPr>
          <w:lang w:eastAsia="es-ES"/>
        </w:rPr>
        <w:lastRenderedPageBreak/>
        <w:t xml:space="preserve">En el grupo de pacientes con caída mayor del 10% de la FEVI </w:t>
      </w:r>
      <w:r w:rsidR="005944F6">
        <w:rPr>
          <w:lang w:eastAsia="es-ES"/>
        </w:rPr>
        <w:t>todos los pa</w:t>
      </w:r>
      <w:r w:rsidR="00084E25">
        <w:rPr>
          <w:lang w:eastAsia="es-ES"/>
        </w:rPr>
        <w:t>cientes presentaron eventos isquémicos como</w:t>
      </w:r>
      <w:r w:rsidR="005944F6">
        <w:rPr>
          <w:lang w:eastAsia="es-ES"/>
        </w:rPr>
        <w:t xml:space="preserve"> síndromes corona</w:t>
      </w:r>
      <w:r w:rsidR="00084E25">
        <w:rPr>
          <w:lang w:eastAsia="es-ES"/>
        </w:rPr>
        <w:t>rios agudos, en el 36,4% y</w:t>
      </w:r>
      <w:r w:rsidR="006E2A2C">
        <w:rPr>
          <w:lang w:eastAsia="es-ES"/>
        </w:rPr>
        <w:t xml:space="preserve"> en la mayoría se necesitó</w:t>
      </w:r>
      <w:r w:rsidR="005944F6">
        <w:rPr>
          <w:lang w:eastAsia="es-ES"/>
        </w:rPr>
        <w:t xml:space="preserve"> revascularización coronaria</w:t>
      </w:r>
      <w:r w:rsidR="006E2A2C">
        <w:rPr>
          <w:lang w:eastAsia="es-ES"/>
        </w:rPr>
        <w:t xml:space="preserve"> en un 63,9%</w:t>
      </w:r>
      <w:r w:rsidR="005944F6">
        <w:rPr>
          <w:lang w:eastAsia="es-ES"/>
        </w:rPr>
        <w:t>.</w:t>
      </w:r>
      <w:r w:rsidR="006E2A2C">
        <w:rPr>
          <w:lang w:eastAsia="es-ES"/>
        </w:rPr>
        <w:t xml:space="preserve"> Se evidenció en este</w:t>
      </w:r>
      <w:r w:rsidR="00F838CE">
        <w:rPr>
          <w:lang w:eastAsia="es-ES"/>
        </w:rPr>
        <w:t xml:space="preserve"> estudio que la caída mayor del 10% de la </w:t>
      </w:r>
      <w:r w:rsidR="00D05E87">
        <w:rPr>
          <w:lang w:eastAsia="es-ES"/>
        </w:rPr>
        <w:t xml:space="preserve">FEVI </w:t>
      </w:r>
      <w:proofErr w:type="spellStart"/>
      <w:r w:rsidR="00D05E87">
        <w:rPr>
          <w:lang w:eastAsia="es-ES"/>
        </w:rPr>
        <w:t>postestrés</w:t>
      </w:r>
      <w:proofErr w:type="spellEnd"/>
      <w:r w:rsidR="00F838CE">
        <w:rPr>
          <w:lang w:eastAsia="es-ES"/>
        </w:rPr>
        <w:t xml:space="preserve"> es un marcador de severidad de la isquemia y factor pronóstico de desarrollo de eventos agudos isquémicos como manifestación de la progresión de la aterosclerosis coronaria (Tabla 7).</w:t>
      </w:r>
    </w:p>
    <w:p w:rsidR="00630E7A" w:rsidRPr="00740BE6" w:rsidRDefault="00B577B7" w:rsidP="00B50180">
      <w:pPr>
        <w:spacing w:line="480" w:lineRule="auto"/>
        <w:rPr>
          <w:lang w:eastAsia="es-ES"/>
        </w:rPr>
      </w:pPr>
      <w:r>
        <w:rPr>
          <w:lang w:eastAsia="es-ES"/>
        </w:rPr>
        <w:t>En el análisis estadístico se encontró una asociación significativa entre ambas variables con una p&lt;0,001.</w:t>
      </w:r>
    </w:p>
    <w:p w:rsidR="00630E7A" w:rsidRPr="00740BE6" w:rsidRDefault="00E72DF2" w:rsidP="00EF6D32">
      <w:pPr>
        <w:pStyle w:val="Ttulo2"/>
        <w:spacing w:line="480" w:lineRule="auto"/>
      </w:pPr>
      <w:bookmarkStart w:id="52" w:name="_Toc355360616"/>
      <w:bookmarkStart w:id="53" w:name="_Toc355361464"/>
      <w:bookmarkStart w:id="54" w:name="_Toc518382552"/>
      <w:r w:rsidRPr="00740BE6">
        <w:t>4.2-</w:t>
      </w:r>
      <w:r w:rsidR="00FB2DD5" w:rsidRPr="00740BE6">
        <w:t xml:space="preserve"> </w:t>
      </w:r>
      <w:r w:rsidR="00630E7A" w:rsidRPr="00740BE6">
        <w:t>Discusión</w:t>
      </w:r>
      <w:bookmarkEnd w:id="52"/>
      <w:bookmarkEnd w:id="53"/>
      <w:bookmarkEnd w:id="54"/>
    </w:p>
    <w:p w:rsidR="00D347DD" w:rsidRPr="001E20CD" w:rsidRDefault="001442AB" w:rsidP="00D347DD">
      <w:pPr>
        <w:spacing w:line="480" w:lineRule="auto"/>
      </w:pPr>
      <w:r>
        <w:t xml:space="preserve"> </w:t>
      </w:r>
      <w:r w:rsidR="00D347DD" w:rsidRPr="001E20CD">
        <w:t>La enfermedad arterial coronaria sigue siendo la principal causa de morbilidad y mortalidad en el mundo. Su detección temprana permite la terapéutica óptima con el fin de mejorar la supervivencia.</w:t>
      </w:r>
      <w:r w:rsidR="00D347DD">
        <w:rPr>
          <w:vertAlign w:val="superscript"/>
        </w:rPr>
        <w:t xml:space="preserve"> 31</w:t>
      </w:r>
    </w:p>
    <w:p w:rsidR="00D347DD" w:rsidRPr="001E20CD" w:rsidRDefault="00D347DD" w:rsidP="00D347DD">
      <w:pPr>
        <w:pStyle w:val="NormalWeb"/>
        <w:spacing w:line="480" w:lineRule="auto"/>
        <w:rPr>
          <w:rFonts w:ascii="Arial" w:hAnsi="Arial"/>
        </w:rPr>
      </w:pPr>
      <w:r w:rsidRPr="001E20CD">
        <w:rPr>
          <w:rFonts w:ascii="Arial" w:hAnsi="Arial"/>
        </w:rPr>
        <w:t>Una vez iniciada la enfermedad coronaria y con ella el desarrollo de la cardiopatía isquémica existe una posibilidad considerable de desarrollar eventos cardiovasculares mayores (muerte súbita cardiaca, muerte por falla cardíaca o infarto agudo al miocardio) o menores (hospitalizaciones por falla cardíaca o angina inestable). El riesgo de tales eventos puede estimarse a través de diversas herramientas clínicas o técnicas diagnósticas no invasivas, entre estas la SPECT miocárdica sincronizado con electrocardiograma.</w:t>
      </w:r>
      <w:r>
        <w:rPr>
          <w:rFonts w:ascii="Arial" w:hAnsi="Arial"/>
          <w:vertAlign w:val="superscript"/>
        </w:rPr>
        <w:t xml:space="preserve"> 32</w:t>
      </w:r>
    </w:p>
    <w:p w:rsidR="00D347DD" w:rsidRPr="001E20CD" w:rsidRDefault="00D347DD" w:rsidP="00D347DD">
      <w:pPr>
        <w:pStyle w:val="NormalWeb"/>
        <w:spacing w:line="480" w:lineRule="auto"/>
        <w:rPr>
          <w:rFonts w:ascii="Arial" w:hAnsi="Arial"/>
        </w:rPr>
      </w:pPr>
      <w:r w:rsidRPr="001E20CD">
        <w:rPr>
          <w:rFonts w:ascii="Arial" w:hAnsi="Arial"/>
        </w:rPr>
        <w:t xml:space="preserve">Actualmente es la más utilizada en el diagnóstico de la enfermedad coronaria. Sus avances computacionales y de nuevas técnicas han permitido mejorar la calidad de los estudios y su exactitud diagnóstica. El estado hemodinámico de la enfermedad coronaria se puede valorar durante el estrés inducido por el </w:t>
      </w:r>
      <w:r w:rsidRPr="001E20CD">
        <w:rPr>
          <w:rFonts w:ascii="Arial" w:hAnsi="Arial"/>
        </w:rPr>
        <w:lastRenderedPageBreak/>
        <w:t xml:space="preserve">ejercicio o fármacos, aportando información de gran interés diagnóstico, pronóstico e importancia a las imágenes de perfusión miocárdica. </w:t>
      </w:r>
      <w:r>
        <w:rPr>
          <w:rFonts w:ascii="Arial" w:hAnsi="Arial"/>
          <w:vertAlign w:val="superscript"/>
        </w:rPr>
        <w:t>33-35</w:t>
      </w:r>
    </w:p>
    <w:p w:rsidR="00D347DD" w:rsidRPr="001E20CD" w:rsidRDefault="00D347DD" w:rsidP="00D347DD">
      <w:pPr>
        <w:pStyle w:val="NormalWeb"/>
        <w:spacing w:line="480" w:lineRule="auto"/>
        <w:rPr>
          <w:rFonts w:ascii="Arial" w:hAnsi="Arial"/>
        </w:rPr>
      </w:pPr>
      <w:r w:rsidRPr="001E20CD">
        <w:rPr>
          <w:rFonts w:ascii="Arial" w:hAnsi="Arial"/>
        </w:rPr>
        <w:t xml:space="preserve">La EAC se asocia con factores de riesgo </w:t>
      </w:r>
      <w:proofErr w:type="spellStart"/>
      <w:r w:rsidRPr="001E20CD">
        <w:rPr>
          <w:rFonts w:ascii="Arial" w:hAnsi="Arial"/>
        </w:rPr>
        <w:t>cardiometabólico</w:t>
      </w:r>
      <w:proofErr w:type="spellEnd"/>
      <w:r w:rsidRPr="001E20CD">
        <w:rPr>
          <w:rFonts w:ascii="Arial" w:hAnsi="Arial"/>
        </w:rPr>
        <w:t xml:space="preserve">, aparece más tempranamente y se observa con mucha mayor frecuencia en el hombre que en la mujer, y en ambos géneros su prevalencia aumenta consistentemente con la edad. </w:t>
      </w:r>
      <w:r>
        <w:rPr>
          <w:rFonts w:ascii="Arial" w:hAnsi="Arial"/>
          <w:vertAlign w:val="superscript"/>
        </w:rPr>
        <w:t>31</w:t>
      </w:r>
    </w:p>
    <w:p w:rsidR="00D347DD" w:rsidRPr="001E20CD" w:rsidRDefault="00D347DD" w:rsidP="00D347DD">
      <w:pPr>
        <w:spacing w:line="480" w:lineRule="auto"/>
      </w:pPr>
      <w:r w:rsidRPr="001E20CD">
        <w:t xml:space="preserve">A partir del estudio </w:t>
      </w:r>
      <w:proofErr w:type="spellStart"/>
      <w:r w:rsidRPr="001E20CD">
        <w:t>Framingham</w:t>
      </w:r>
      <w:proofErr w:type="spellEnd"/>
      <w:r w:rsidRPr="001E20CD">
        <w:t xml:space="preserve"> se conoce que la incidencia de eventos coronarios aumenta en rápida progresión con la edad, en las mujeres tienen tasas correspondientes a 10 años me</w:t>
      </w:r>
      <w:r w:rsidR="007A6237">
        <w:t>no</w:t>
      </w:r>
      <w:r>
        <w:t>s que las de los varones (un retardo</w:t>
      </w:r>
      <w:r w:rsidRPr="001E20CD">
        <w:t xml:space="preserve"> medio de 10 años en las tasas de incidencia). En los casos de infarto de miocardio y muerte súbita, el retardo de las tasas de incidencia en las mujeres es alrededor de 20 años, aunque el margen disminuye a edades avanzadas. La incidencia en edades entre 65 y 94 años se duplica en los varones y se triplica en las mujeres respecto a edades entre 35 y 64 años. En mujeres </w:t>
      </w:r>
      <w:proofErr w:type="spellStart"/>
      <w:r w:rsidRPr="001E20CD">
        <w:t>premenopaúsicas</w:t>
      </w:r>
      <w:proofErr w:type="spellEnd"/>
      <w:r w:rsidRPr="001E20CD">
        <w:t xml:space="preserve"> las manifestaciones más graves de la EC, como el infarto de miocardio y la muerte súbita, son relativamente raras. Después de la menopausia, la incidencia y la gravedad de la EC aumentan rápidamente y alcanzan tasas 3 veces mayores en </w:t>
      </w:r>
      <w:proofErr w:type="spellStart"/>
      <w:r w:rsidRPr="001E20CD">
        <w:t>posmenopaúsicas</w:t>
      </w:r>
      <w:proofErr w:type="spellEnd"/>
      <w:r w:rsidRPr="001E20CD">
        <w:t xml:space="preserve"> que en </w:t>
      </w:r>
      <w:proofErr w:type="spellStart"/>
      <w:r w:rsidRPr="001E20CD">
        <w:t>premenopaúsicas</w:t>
      </w:r>
      <w:proofErr w:type="spellEnd"/>
      <w:r w:rsidRPr="001E20CD">
        <w:t xml:space="preserve"> de la misma edad.</w:t>
      </w:r>
      <w:r w:rsidRPr="001E20CD">
        <w:rPr>
          <w:vertAlign w:val="superscript"/>
        </w:rPr>
        <w:t>1</w:t>
      </w:r>
    </w:p>
    <w:p w:rsidR="00D347DD" w:rsidRPr="001E20CD" w:rsidRDefault="00D347DD" w:rsidP="00D347DD">
      <w:pPr>
        <w:spacing w:line="480" w:lineRule="auto"/>
      </w:pPr>
      <w:r w:rsidRPr="001E20CD">
        <w:t>Si bien los factores de riesgo cardiovascular tradicionales son útiles en la evaluación del riesgo individual de presentar eventos cardiovasculares, en los pacientes con EAC establecida tienen un riesgo permanente de eventos cardiovasculares pese al tratamiento médico.</w:t>
      </w:r>
      <w:r>
        <w:rPr>
          <w:vertAlign w:val="superscript"/>
        </w:rPr>
        <w:t>36</w:t>
      </w:r>
    </w:p>
    <w:p w:rsidR="00D347DD" w:rsidRPr="001E20CD" w:rsidRDefault="00D347DD" w:rsidP="00D347DD">
      <w:pPr>
        <w:pStyle w:val="NormalWeb"/>
        <w:spacing w:line="480" w:lineRule="auto"/>
        <w:rPr>
          <w:rFonts w:ascii="Arial" w:hAnsi="Arial"/>
        </w:rPr>
      </w:pPr>
      <w:r w:rsidRPr="001E20CD">
        <w:rPr>
          <w:rFonts w:ascii="Arial" w:hAnsi="Arial"/>
        </w:rPr>
        <w:lastRenderedPageBreak/>
        <w:t>En este estudio se encontró resultados similares en cuanto a la prevalencia del sexo masculino y la influencia de la edad después de los 60 años en el diagnóstico de la cardiopatía isquémica. También concordamos que los factores de riesgo cardiovasculares no modificables perpetúan el hecho de padecer más tempranamente la enfe</w:t>
      </w:r>
      <w:r>
        <w:rPr>
          <w:rFonts w:ascii="Arial" w:hAnsi="Arial"/>
        </w:rPr>
        <w:t xml:space="preserve">rmedad con su rápida progresión. </w:t>
      </w:r>
    </w:p>
    <w:p w:rsidR="00D347DD" w:rsidRPr="007A6237" w:rsidRDefault="00D347DD" w:rsidP="00D347DD">
      <w:pPr>
        <w:pStyle w:val="NormalWeb"/>
        <w:spacing w:line="480" w:lineRule="auto"/>
        <w:rPr>
          <w:rFonts w:ascii="Arial" w:hAnsi="Arial"/>
        </w:rPr>
      </w:pPr>
      <w:r w:rsidRPr="001E20CD">
        <w:rPr>
          <w:rFonts w:ascii="Arial" w:hAnsi="Arial"/>
        </w:rPr>
        <w:t>Además, existió una prevalencia significativa de la hiperte</w:t>
      </w:r>
      <w:r w:rsidR="007A6237">
        <w:rPr>
          <w:rFonts w:ascii="Arial" w:hAnsi="Arial"/>
        </w:rPr>
        <w:t>nsión arterial y la diabetes mellitus</w:t>
      </w:r>
      <w:r w:rsidRPr="001E20CD">
        <w:rPr>
          <w:rFonts w:ascii="Arial" w:hAnsi="Arial"/>
        </w:rPr>
        <w:t xml:space="preserve"> entre los pacientes. La suma de dos factores de riesgo o má</w:t>
      </w:r>
      <w:r>
        <w:rPr>
          <w:rFonts w:ascii="Arial" w:hAnsi="Arial"/>
        </w:rPr>
        <w:t>s</w:t>
      </w:r>
      <w:r w:rsidR="007A6237">
        <w:rPr>
          <w:rFonts w:ascii="Arial" w:hAnsi="Arial"/>
        </w:rPr>
        <w:t xml:space="preserve"> son aspectos que perpetúan la progresión de la aterosclerosis coronaria,</w:t>
      </w:r>
      <w:r w:rsidRPr="001E20CD">
        <w:rPr>
          <w:rFonts w:ascii="Arial" w:hAnsi="Arial"/>
        </w:rPr>
        <w:t xml:space="preserve"> coincidiendo con la liter</w:t>
      </w:r>
      <w:r w:rsidR="007A6237">
        <w:rPr>
          <w:rFonts w:ascii="Arial" w:hAnsi="Arial"/>
        </w:rPr>
        <w:t>atura del efecto aditivo en</w:t>
      </w:r>
      <w:r w:rsidRPr="001E20CD">
        <w:rPr>
          <w:rFonts w:ascii="Arial" w:hAnsi="Arial"/>
        </w:rPr>
        <w:t xml:space="preserve"> la enfermedad coronaria que tienen la presencia</w:t>
      </w:r>
      <w:r w:rsidR="007A6237">
        <w:rPr>
          <w:rFonts w:ascii="Arial" w:hAnsi="Arial"/>
        </w:rPr>
        <w:t xml:space="preserve"> de varios factores de riesgo a la vez.</w:t>
      </w:r>
    </w:p>
    <w:p w:rsidR="00D347DD" w:rsidRPr="001E20CD" w:rsidRDefault="00D347DD" w:rsidP="00D347DD">
      <w:pPr>
        <w:spacing w:line="480" w:lineRule="auto"/>
        <w:rPr>
          <w:b/>
          <w:u w:val="single"/>
        </w:rPr>
      </w:pPr>
      <w:r w:rsidRPr="001E20CD">
        <w:t xml:space="preserve">Las presentaciones clínicas atípicas son más frecuentes en las mujeres que en los hombres.  Las mujeres con isquemia tienen más probabilidad que los hombres para indicar un umbral de dolor variable, dolor </w:t>
      </w:r>
      <w:proofErr w:type="spellStart"/>
      <w:r w:rsidRPr="001E20CD">
        <w:t>inframamario</w:t>
      </w:r>
      <w:proofErr w:type="spellEnd"/>
      <w:r w:rsidRPr="001E20CD">
        <w:t>, palpitaciones o dolor agudo y/o punzante. La presentación más tardía de CI en mujeres que en hombres y las limitaciones relacionadas con el sexo para la realización de la ergometría han generado interés en el beneficio potencial añadido de la imagen de perfusión de esfuerzo en mujeres. Diferentes estudios se han realizado para mejorar la sensibilidad y especificidad en el diagnóstico de la CI en la mujer</w:t>
      </w:r>
      <w:r>
        <w:t xml:space="preserve"> </w:t>
      </w:r>
      <w:r>
        <w:rPr>
          <w:vertAlign w:val="superscript"/>
        </w:rPr>
        <w:t>26, 37, 38</w:t>
      </w:r>
      <w:r w:rsidRPr="001E20CD">
        <w:t xml:space="preserve">. </w:t>
      </w:r>
      <w:proofErr w:type="spellStart"/>
      <w:r w:rsidRPr="001E20CD">
        <w:t>Perez-Iruela</w:t>
      </w:r>
      <w:proofErr w:type="spellEnd"/>
      <w:r w:rsidRPr="001E20CD">
        <w:t xml:space="preserve"> y cols. en un estudio con imágenes de perfusión miocárdica mediante estrés farmacológico con </w:t>
      </w:r>
      <w:proofErr w:type="spellStart"/>
      <w:r w:rsidRPr="001E20CD">
        <w:t>dipiridamol</w:t>
      </w:r>
      <w:proofErr w:type="spellEnd"/>
      <w:r w:rsidRPr="001E20CD">
        <w:t xml:space="preserve"> concluyó:" utilizando el protocolo de un día, tiene alta sensibilidad y especificidad para el diagnóstico en mujeres con sospecha de cardiopatía isquémica, obteniendo valores de sensibilidad y especificidad del 94% (93,47%-94,53%) y el 82% (80,94%-83,06%), respectivamente".</w:t>
      </w:r>
      <w:r>
        <w:rPr>
          <w:vertAlign w:val="superscript"/>
        </w:rPr>
        <w:t>37</w:t>
      </w:r>
    </w:p>
    <w:p w:rsidR="00D347DD" w:rsidRPr="001E20CD" w:rsidRDefault="00D347DD" w:rsidP="00D347DD">
      <w:pPr>
        <w:pStyle w:val="NormalWeb"/>
        <w:autoSpaceDE w:val="0"/>
        <w:autoSpaceDN w:val="0"/>
        <w:spacing w:line="480" w:lineRule="auto"/>
        <w:rPr>
          <w:rFonts w:ascii="Arial" w:hAnsi="Arial"/>
        </w:rPr>
      </w:pPr>
      <w:r w:rsidRPr="00267987">
        <w:rPr>
          <w:rFonts w:ascii="Arial" w:hAnsi="Arial"/>
        </w:rPr>
        <w:lastRenderedPageBreak/>
        <w:t>El resultado de la presente investigación coincide con otros estudios</w:t>
      </w:r>
      <w:r>
        <w:rPr>
          <w:rFonts w:ascii="Arial" w:hAnsi="Arial"/>
        </w:rPr>
        <w:t xml:space="preserve"> </w:t>
      </w:r>
      <w:r>
        <w:rPr>
          <w:rFonts w:ascii="Arial" w:hAnsi="Arial"/>
          <w:vertAlign w:val="superscript"/>
        </w:rPr>
        <w:t>26, 37, 38</w:t>
      </w:r>
      <w:r w:rsidRPr="00267987">
        <w:rPr>
          <w:rFonts w:ascii="Arial" w:hAnsi="Arial"/>
        </w:rPr>
        <w:t>. La tipicidad del dolor torácico es una alarma en la búsqueda de la isquemia miocárdica, pero en aquellos pacientes con atipicidad y PPT intermedia-alta se deben explorar de manera no invasiva fundamentalmente en las mujeres, buscando síntomas y signos sugestivos de CI.</w:t>
      </w:r>
      <w:r>
        <w:rPr>
          <w:rFonts w:ascii="Arial" w:hAnsi="Arial"/>
        </w:rPr>
        <w:t xml:space="preserve"> En el present</w:t>
      </w:r>
      <w:r w:rsidR="00977964">
        <w:rPr>
          <w:rFonts w:ascii="Arial" w:hAnsi="Arial"/>
        </w:rPr>
        <w:t>e estudio se demostró como en 74</w:t>
      </w:r>
      <w:r>
        <w:rPr>
          <w:rFonts w:ascii="Arial" w:hAnsi="Arial"/>
        </w:rPr>
        <w:t xml:space="preserve"> pacientes con defectos de perfusión miocárdica</w:t>
      </w:r>
      <w:r w:rsidR="009E4929">
        <w:rPr>
          <w:rFonts w:ascii="Arial" w:hAnsi="Arial"/>
        </w:rPr>
        <w:t>, 6</w:t>
      </w:r>
      <w:r>
        <w:rPr>
          <w:rFonts w:ascii="Arial" w:hAnsi="Arial"/>
        </w:rPr>
        <w:t xml:space="preserve"> no tuvieron un dolor torácico típico. Por lo tanto, de no haberse realizado el examen de perfusión miocárdica no se hubiese</w:t>
      </w:r>
      <w:r w:rsidR="005145BF">
        <w:rPr>
          <w:rFonts w:ascii="Arial" w:hAnsi="Arial"/>
        </w:rPr>
        <w:t>n confirmado la</w:t>
      </w:r>
      <w:r>
        <w:rPr>
          <w:rFonts w:ascii="Arial" w:hAnsi="Arial"/>
        </w:rPr>
        <w:t xml:space="preserve"> isquemia para posterior conducta terapéutica.</w:t>
      </w:r>
    </w:p>
    <w:p w:rsidR="00AD1BA0" w:rsidRDefault="00D347DD" w:rsidP="00D347DD">
      <w:pPr>
        <w:spacing w:line="480" w:lineRule="auto"/>
        <w:rPr>
          <w:rFonts w:eastAsia="Times-Roman"/>
        </w:rPr>
      </w:pPr>
      <w:r w:rsidRPr="001E20CD">
        <w:t xml:space="preserve">La amplia experiencia acumulada sobre los estudios de perfusión miocárdica demuestra que su sensibilidad y especificidad para detectar EC es claramente superior a la de la prueba de esfuerzo convencional. En un </w:t>
      </w:r>
      <w:proofErr w:type="spellStart"/>
      <w:r w:rsidRPr="001E20CD">
        <w:t>metaanálisis</w:t>
      </w:r>
      <w:proofErr w:type="spellEnd"/>
      <w:r w:rsidRPr="001E20CD">
        <w:t xml:space="preserve"> de 33 publicaciones en las que se valoraron los resultados del estudio de perfusión mioc</w:t>
      </w:r>
      <w:r>
        <w:t xml:space="preserve">árdica con esfuerzo físico en 4 </w:t>
      </w:r>
      <w:r w:rsidRPr="001E20CD">
        <w:t xml:space="preserve">480 pacientes, la mayoría con trazadores marcados con 99mTc, la sensibilidad media para detectar EC </w:t>
      </w:r>
      <w:proofErr w:type="spellStart"/>
      <w:r w:rsidRPr="001E20CD">
        <w:t>angiográficamente</w:t>
      </w:r>
      <w:proofErr w:type="spellEnd"/>
      <w:r w:rsidRPr="001E20CD">
        <w:t xml:space="preserve"> significativa (≥ 50%) fue del 87% y la especificidad del 73%, mientras </w:t>
      </w:r>
      <w:r>
        <w:t xml:space="preserve">en </w:t>
      </w:r>
      <w:r w:rsidRPr="001E20CD">
        <w:t>17 estudios con sobrecarga farmacológica realizado en 2492 pacientes, fueron del 89 y el 75%, respectivamente.</w:t>
      </w:r>
      <w:r w:rsidRPr="001E20CD">
        <w:rPr>
          <w:vertAlign w:val="superscript"/>
        </w:rPr>
        <w:t xml:space="preserve"> 32</w:t>
      </w:r>
      <w:r>
        <w:t xml:space="preserve"> </w:t>
      </w:r>
      <w:r w:rsidRPr="001E20CD">
        <w:rPr>
          <w:rFonts w:eastAsia="Times-Roman"/>
        </w:rPr>
        <w:t>En este estudio se encontró una</w:t>
      </w:r>
      <w:r>
        <w:rPr>
          <w:rFonts w:eastAsia="Times-Roman"/>
        </w:rPr>
        <w:t xml:space="preserve"> buena</w:t>
      </w:r>
      <w:r w:rsidRPr="001E20CD">
        <w:rPr>
          <w:rFonts w:eastAsia="Times-Roman"/>
        </w:rPr>
        <w:t xml:space="preserve"> relación</w:t>
      </w:r>
      <w:r w:rsidR="005145BF">
        <w:rPr>
          <w:rFonts w:eastAsia="Times-Roman"/>
        </w:rPr>
        <w:t xml:space="preserve"> de predictib</w:t>
      </w:r>
      <w:r>
        <w:rPr>
          <w:rFonts w:eastAsia="Times-Roman"/>
        </w:rPr>
        <w:t>i</w:t>
      </w:r>
      <w:r w:rsidR="005145BF">
        <w:rPr>
          <w:rFonts w:eastAsia="Times-Roman"/>
        </w:rPr>
        <w:t>li</w:t>
      </w:r>
      <w:r>
        <w:rPr>
          <w:rFonts w:eastAsia="Times-Roman"/>
        </w:rPr>
        <w:t>dad</w:t>
      </w:r>
      <w:r w:rsidRPr="001E20CD">
        <w:rPr>
          <w:rFonts w:eastAsia="Times-Roman"/>
        </w:rPr>
        <w:t xml:space="preserve"> entre la presencia de alteraciones en el ECG de esfuerzo (prueba </w:t>
      </w:r>
      <w:proofErr w:type="spellStart"/>
      <w:r w:rsidRPr="001E20CD">
        <w:rPr>
          <w:rFonts w:eastAsia="Times-Roman"/>
        </w:rPr>
        <w:t>ergométrica</w:t>
      </w:r>
      <w:proofErr w:type="spellEnd"/>
      <w:r w:rsidRPr="001E20CD">
        <w:rPr>
          <w:rFonts w:eastAsia="Times-Roman"/>
        </w:rPr>
        <w:t>) y la presencia de isquemia en la perfusión miocárdic</w:t>
      </w:r>
      <w:r>
        <w:rPr>
          <w:rFonts w:eastAsia="Times-Roman"/>
        </w:rPr>
        <w:t>a por SPECT.  N</w:t>
      </w:r>
      <w:r w:rsidRPr="001E20CD">
        <w:rPr>
          <w:rFonts w:eastAsia="Times-Roman"/>
        </w:rPr>
        <w:t xml:space="preserve">uestros resultados </w:t>
      </w:r>
      <w:r>
        <w:rPr>
          <w:rFonts w:eastAsia="Times-Roman"/>
        </w:rPr>
        <w:t xml:space="preserve">coinciden con otros autores </w:t>
      </w:r>
      <w:r w:rsidRPr="001E20CD">
        <w:rPr>
          <w:rFonts w:eastAsia="Times-Roman"/>
        </w:rPr>
        <w:t xml:space="preserve">de realizar estudios de imágenes no invasivas cuando los datos del ECG </w:t>
      </w:r>
      <w:r>
        <w:rPr>
          <w:rFonts w:eastAsia="Times-Roman"/>
        </w:rPr>
        <w:t>de esfuerzo no son concluyentes. Se de</w:t>
      </w:r>
      <w:r w:rsidR="00AD1BA0">
        <w:rPr>
          <w:rFonts w:eastAsia="Times-Roman"/>
        </w:rPr>
        <w:t>mostró en la tabla 4</w:t>
      </w:r>
      <w:r w:rsidR="00751D8D">
        <w:rPr>
          <w:rFonts w:eastAsia="Times-Roman"/>
        </w:rPr>
        <w:t xml:space="preserve"> que </w:t>
      </w:r>
      <w:r w:rsidR="00AD1BA0">
        <w:rPr>
          <w:rFonts w:eastAsia="Times-Roman"/>
        </w:rPr>
        <w:t>al 54,3</w:t>
      </w:r>
      <w:r>
        <w:rPr>
          <w:rFonts w:eastAsia="Times-Roman"/>
        </w:rPr>
        <w:t xml:space="preserve">% </w:t>
      </w:r>
      <w:r w:rsidR="00751D8D">
        <w:rPr>
          <w:rFonts w:eastAsia="Times-Roman"/>
        </w:rPr>
        <w:t>de los pacientes con resultados positivos</w:t>
      </w:r>
      <w:r>
        <w:rPr>
          <w:rFonts w:eastAsia="Times-Roman"/>
        </w:rPr>
        <w:t xml:space="preserve"> en la PE</w:t>
      </w:r>
      <w:r w:rsidR="00AD1BA0">
        <w:rPr>
          <w:rFonts w:eastAsia="Times-Roman"/>
        </w:rPr>
        <w:t xml:space="preserve">P </w:t>
      </w:r>
      <w:r>
        <w:rPr>
          <w:rFonts w:eastAsia="Times-Roman"/>
        </w:rPr>
        <w:t xml:space="preserve">se le constató </w:t>
      </w:r>
      <w:r>
        <w:rPr>
          <w:rFonts w:eastAsia="Times-Roman"/>
        </w:rPr>
        <w:lastRenderedPageBreak/>
        <w:t>isquemia cardia</w:t>
      </w:r>
      <w:r w:rsidR="00AD1BA0">
        <w:rPr>
          <w:rFonts w:eastAsia="Times-Roman"/>
        </w:rPr>
        <w:t>ca en los estudios de perfusión</w:t>
      </w:r>
      <w:r w:rsidR="00831FA4">
        <w:rPr>
          <w:rFonts w:eastAsia="Times-Roman"/>
        </w:rPr>
        <w:t>,</w:t>
      </w:r>
      <w:r w:rsidR="00AD1BA0">
        <w:rPr>
          <w:rFonts w:eastAsia="Times-Roman"/>
        </w:rPr>
        <w:t xml:space="preserve"> al igual que al 12% de los que tenían PEP negativas o dudosas</w:t>
      </w:r>
    </w:p>
    <w:p w:rsidR="00751D8D" w:rsidRDefault="00D347DD" w:rsidP="00D347DD">
      <w:pPr>
        <w:spacing w:line="480" w:lineRule="auto"/>
        <w:rPr>
          <w:vertAlign w:val="superscript"/>
        </w:rPr>
      </w:pPr>
      <w:r w:rsidRPr="001E20CD">
        <w:t>Existen trabajos que han evaluado las indicaciones de estudios de SPECT cardíaco según los criterios de apropiadas o “inapropiadas” o inciertas.</w:t>
      </w:r>
      <w:r w:rsidRPr="001E20CD">
        <w:rPr>
          <w:vertAlign w:val="superscript"/>
        </w:rPr>
        <w:t xml:space="preserve"> 19</w:t>
      </w:r>
      <w:r w:rsidRPr="001E20CD">
        <w:t xml:space="preserve"> Se debe tener en cuenta la probabilidad </w:t>
      </w:r>
      <w:proofErr w:type="spellStart"/>
      <w:r w:rsidRPr="001E20CD">
        <w:t>pretest</w:t>
      </w:r>
      <w:proofErr w:type="spellEnd"/>
      <w:r w:rsidRPr="001E20CD">
        <w:t xml:space="preserve"> de presentar enfermedad coronaria significativa en pacientes sintomáticos según edad y sexo. A mayor edad y dependiendo de lo típico o atípico del dolor precordial y el sexo, la probabilidad varía en forma importante. Siendo apropiado para pacientes que presentan probabilidad intermedia de coronariopatía, según su edad, sexo, síntomas, factores de riesgo cardiovascular y resultados</w:t>
      </w:r>
      <w:r w:rsidR="00751D8D">
        <w:t xml:space="preserve"> previos</w:t>
      </w:r>
      <w:r w:rsidRPr="001E20CD">
        <w:t xml:space="preserve"> de la prueba de esfuerzo</w:t>
      </w:r>
      <w:r>
        <w:t>.</w:t>
      </w:r>
      <w:r w:rsidRPr="001E20CD">
        <w:t xml:space="preserve"> En ocasiones hay discordancia entre los resultados de la prueba de esfuerzo y la clínica del paciente. Además, de tener en cuenta el score de calcio coronario (</w:t>
      </w:r>
      <w:proofErr w:type="spellStart"/>
      <w:r w:rsidRPr="001E20CD">
        <w:t>SCa</w:t>
      </w:r>
      <w:proofErr w:type="spellEnd"/>
      <w:r w:rsidRPr="001E20CD">
        <w:t xml:space="preserve">). La GPM está indicada si </w:t>
      </w:r>
      <w:proofErr w:type="spellStart"/>
      <w:r w:rsidRPr="001E20CD">
        <w:t>SCa</w:t>
      </w:r>
      <w:proofErr w:type="spellEnd"/>
      <w:r w:rsidRPr="001E20CD">
        <w:t xml:space="preserve"> ≥ 400 </w:t>
      </w:r>
      <w:proofErr w:type="spellStart"/>
      <w:r w:rsidRPr="001E20CD">
        <w:t>ó</w:t>
      </w:r>
      <w:proofErr w:type="spellEnd"/>
      <w:r w:rsidRPr="001E20CD">
        <w:t xml:space="preserve"> si el paciente tiene </w:t>
      </w:r>
      <w:proofErr w:type="spellStart"/>
      <w:r w:rsidRPr="001E20CD">
        <w:t>SCa</w:t>
      </w:r>
      <w:proofErr w:type="spellEnd"/>
      <w:r w:rsidRPr="001E20CD">
        <w:t xml:space="preserve"> 100-400 y riesgo elevado. En estas circunstancias está demostrada la eficacia de la realización de la SPECT cardiaca.</w:t>
      </w:r>
      <w:r>
        <w:rPr>
          <w:vertAlign w:val="superscript"/>
        </w:rPr>
        <w:t xml:space="preserve"> 8,26,34</w:t>
      </w:r>
    </w:p>
    <w:p w:rsidR="00D347DD" w:rsidRPr="001E20CD" w:rsidRDefault="00D347DD" w:rsidP="00D347DD">
      <w:pPr>
        <w:spacing w:line="480" w:lineRule="auto"/>
      </w:pPr>
      <w:r w:rsidRPr="001E20CD">
        <w:t>Es particularmente apropiado su uso en subgrupos especiales (enfermedad renal crónica, diabéticos y mujeres) en los que la aparición de eventos cardiacos está estrechamente relacionada con la gravedad y la extensión de los defectos de perfusión. De ahí que se utilice para decidir un tratamiento agresivo en pacientes con riesgo elevado, evitándose intervenciones innecesarias en aquellos con resultados normales o ligeramente anormales. El empleo de la GPM en pacientes sin EC demostrada debe basarse en su riesgo de sufrir eventos cardiacos adversos. De esta forma, no está indicada para pacientes con bajo riesgo.</w:t>
      </w:r>
      <w:r>
        <w:rPr>
          <w:vertAlign w:val="superscript"/>
        </w:rPr>
        <w:t xml:space="preserve"> 26,39</w:t>
      </w:r>
    </w:p>
    <w:p w:rsidR="00D347DD" w:rsidRPr="001E20CD" w:rsidRDefault="00D347DD" w:rsidP="00D347DD">
      <w:pPr>
        <w:spacing w:line="480" w:lineRule="auto"/>
      </w:pPr>
      <w:r w:rsidRPr="001E20CD">
        <w:lastRenderedPageBreak/>
        <w:t xml:space="preserve">En </w:t>
      </w:r>
      <w:r w:rsidR="00751D8D">
        <w:t>este estudio se identificó al 58,9</w:t>
      </w:r>
      <w:r w:rsidRPr="001E20CD">
        <w:t xml:space="preserve">% de los pacientes </w:t>
      </w:r>
      <w:r w:rsidRPr="004D0574">
        <w:t>con resultados normales de perfusión miocárdica. Este dato coincide con la bibliografía revisada del valor que tiene GPM en diferenciar a aquellos pacientes sin isquemia y que no se deben someter a exámenes invasivos, dis</w:t>
      </w:r>
      <w:r w:rsidRPr="001E20CD">
        <w:t>minuyendo el riesgo para el paciente y abaratando costos en los sistemas de salud. De igual manera a los pacient</w:t>
      </w:r>
      <w:r>
        <w:t>es con perfusiones miocárdicas anormales</w:t>
      </w:r>
      <w:r w:rsidRPr="001E20CD">
        <w:t xml:space="preserve"> se viabilizan mej</w:t>
      </w:r>
      <w:r>
        <w:t>or en su terapéutica posterior.</w:t>
      </w:r>
      <w:r w:rsidRPr="004D0574">
        <w:rPr>
          <w:vertAlign w:val="superscript"/>
        </w:rPr>
        <w:t xml:space="preserve"> </w:t>
      </w:r>
      <w:r>
        <w:rPr>
          <w:vertAlign w:val="superscript"/>
        </w:rPr>
        <w:t>17</w:t>
      </w:r>
      <w:r w:rsidRPr="001E20CD">
        <w:rPr>
          <w:vertAlign w:val="superscript"/>
        </w:rPr>
        <w:t>,</w:t>
      </w:r>
      <w:r>
        <w:rPr>
          <w:vertAlign w:val="superscript"/>
        </w:rPr>
        <w:t xml:space="preserve"> 18, 21, 26, 39</w:t>
      </w:r>
    </w:p>
    <w:p w:rsidR="00D347DD" w:rsidRPr="001E20CD" w:rsidRDefault="00D347DD" w:rsidP="00D347DD">
      <w:pPr>
        <w:spacing w:line="480" w:lineRule="auto"/>
      </w:pPr>
      <w:r w:rsidRPr="001E20CD">
        <w:t>Los protocolos empleados en la cardiopatía isquémica según las normas internacionales de medicina nuclear se utilizan para confirmar el diagnóstico de enfermedad coronaria significativa, documentar la isquemia en pacientes con síntomas estables, estratificar el riesgo del paciente con angina estable y síndrome coronario agudo y en la elección</w:t>
      </w:r>
      <w:r w:rsidR="00751D8D">
        <w:t xml:space="preserve"> de las opciones de tratamiento.</w:t>
      </w:r>
      <w:r w:rsidRPr="001E20CD">
        <w:t xml:space="preserve"> </w:t>
      </w:r>
      <w:r>
        <w:rPr>
          <w:vertAlign w:val="superscript"/>
        </w:rPr>
        <w:t>8,25,33</w:t>
      </w:r>
    </w:p>
    <w:p w:rsidR="00D347DD" w:rsidRPr="001E20CD" w:rsidRDefault="00D347DD" w:rsidP="00D347DD">
      <w:pPr>
        <w:spacing w:line="480" w:lineRule="auto"/>
      </w:pPr>
      <w:r w:rsidRPr="001E20CD">
        <w:t xml:space="preserve">En el protocolo de estrés es preferible el ejercicio graduado en cinta </w:t>
      </w:r>
      <w:proofErr w:type="spellStart"/>
      <w:r w:rsidRPr="001E20CD">
        <w:t>ergométrica</w:t>
      </w:r>
      <w:proofErr w:type="spellEnd"/>
      <w:r w:rsidRPr="001E20CD">
        <w:t xml:space="preserve"> como agente de estrés, a lo que se asocia el valor agregado intrínseco del estudio de ergometría y parámetros de respuesta funcional importantes para el pronóstico posterior.</w:t>
      </w:r>
      <w:r w:rsidRPr="001E20CD">
        <w:rPr>
          <w:vertAlign w:val="superscript"/>
        </w:rPr>
        <w:t xml:space="preserve"> 8</w:t>
      </w:r>
    </w:p>
    <w:p w:rsidR="00D347DD" w:rsidRPr="001E20CD" w:rsidRDefault="00D347DD" w:rsidP="00D347DD">
      <w:pPr>
        <w:spacing w:line="480" w:lineRule="auto"/>
      </w:pPr>
      <w:r w:rsidRPr="001E20CD">
        <w:t>Numerosos estudios han demostrado el valor pronóstico adicional de las variables aportadas por los estudios de perfusión miocárdica sobre la clínica y el E</w:t>
      </w:r>
      <w:r>
        <w:t>CG de esfuerzo teniendo</w:t>
      </w:r>
      <w:r w:rsidRPr="001E20CD">
        <w:t xml:space="preserve"> un </w:t>
      </w:r>
      <w:r w:rsidR="00751D8D">
        <w:t>alto valor predictivo negativo</w:t>
      </w:r>
      <w:r w:rsidRPr="001E20CD">
        <w:t>.</w:t>
      </w:r>
      <w:r>
        <w:rPr>
          <w:vertAlign w:val="superscript"/>
        </w:rPr>
        <w:t xml:space="preserve"> 7,8,40</w:t>
      </w:r>
    </w:p>
    <w:p w:rsidR="00D347DD" w:rsidRPr="001E20CD" w:rsidRDefault="00D347DD" w:rsidP="00D347DD">
      <w:pPr>
        <w:spacing w:line="480" w:lineRule="auto"/>
      </w:pPr>
      <w:r w:rsidRPr="001E20CD">
        <w:t xml:space="preserve"> Las variables </w:t>
      </w:r>
      <w:proofErr w:type="spellStart"/>
      <w:r w:rsidRPr="001E20CD">
        <w:t>ergométricas</w:t>
      </w:r>
      <w:proofErr w:type="spellEnd"/>
      <w:r w:rsidRPr="001E20CD">
        <w:t xml:space="preserve"> proporcionan importante información </w:t>
      </w:r>
      <w:proofErr w:type="spellStart"/>
      <w:r w:rsidRPr="001E20CD">
        <w:t>pronósti</w:t>
      </w:r>
      <w:r>
        <w:t>ca</w:t>
      </w:r>
      <w:proofErr w:type="spellEnd"/>
      <w:r>
        <w:t xml:space="preserve"> cuando se combinan con la GPM</w:t>
      </w:r>
      <w:r w:rsidRPr="001E20CD">
        <w:t xml:space="preserve">. </w:t>
      </w:r>
      <w:proofErr w:type="spellStart"/>
      <w:r w:rsidRPr="001E20CD">
        <w:t>Lauer</w:t>
      </w:r>
      <w:proofErr w:type="spellEnd"/>
      <w:r w:rsidRPr="001E20CD">
        <w:t xml:space="preserve"> y colaboradores demostraron que la sobrevida libre de eventos cardíacos estaba relacionada tanto con la presenci</w:t>
      </w:r>
      <w:r>
        <w:t>a de isquemia detectada en el GP</w:t>
      </w:r>
      <w:r w:rsidRPr="001E20CD">
        <w:t xml:space="preserve">M como con la capacidad de alcanzar al menos el 85% de la FCMT (frecuencia cardiaca máxima teórica). La tasa de sobrevida </w:t>
      </w:r>
      <w:r w:rsidRPr="001E20CD">
        <w:lastRenderedPageBreak/>
        <w:t>libre de eventos fue significativamente menor en pacientes incapaces de alcanzar dicho nivel de frecuencia cardíaca, comparada con aquellos que tuvieron isquemia inducible, pero con buena tolerancia al ejercicio. La mejor tasa de supervivencia en un período de cuatro años de seguimiento fue para el subgrupo de pacientes que logró alcanzar el 85% de la FCMT y no presentó isquemia.</w:t>
      </w:r>
      <w:r>
        <w:rPr>
          <w:vertAlign w:val="superscript"/>
        </w:rPr>
        <w:t xml:space="preserve"> 40</w:t>
      </w:r>
    </w:p>
    <w:p w:rsidR="00D347DD" w:rsidRPr="001E20CD" w:rsidRDefault="00D347DD" w:rsidP="00D347DD">
      <w:pPr>
        <w:spacing w:line="480" w:lineRule="auto"/>
      </w:pPr>
      <w:r w:rsidRPr="001E20CD">
        <w:t>Las imágenes de estrés farmacológico proporcionan información comparable a las del ejercicio, aunque la tasa de eventos cardíacos en pacientes con estudios normales es más alta q</w:t>
      </w:r>
      <w:r>
        <w:t>ue en aquellos que tienen un GPM</w:t>
      </w:r>
      <w:r w:rsidRPr="001E20CD">
        <w:t xml:space="preserve"> normal sensibilizado con ergometría.</w:t>
      </w:r>
      <w:r>
        <w:rPr>
          <w:vertAlign w:val="superscript"/>
        </w:rPr>
        <w:t>41</w:t>
      </w:r>
    </w:p>
    <w:p w:rsidR="00D347DD" w:rsidRPr="001E20CD" w:rsidRDefault="00D347DD" w:rsidP="00D347DD">
      <w:pPr>
        <w:spacing w:line="480" w:lineRule="auto"/>
      </w:pPr>
      <w:r w:rsidRPr="001E20CD">
        <w:t>Los estudios con resultados normales bajo estrés farmacológico se asocian con buen pronóstico en el lapso de un año, pero tienen mayor incidencia de “eventos duros” en tiempos de seguimiento mayores, independiente de las comorbilidades cardíacas de los pacientes.</w:t>
      </w:r>
      <w:r>
        <w:rPr>
          <w:vertAlign w:val="superscript"/>
        </w:rPr>
        <w:t xml:space="preserve"> 40,42</w:t>
      </w:r>
    </w:p>
    <w:p w:rsidR="00D347DD" w:rsidRPr="001E20CD" w:rsidRDefault="00D347DD" w:rsidP="00D347DD">
      <w:pPr>
        <w:spacing w:line="480" w:lineRule="auto"/>
      </w:pPr>
      <w:r w:rsidRPr="001E20CD">
        <w:t>En este estudio evidenciamos como el empleo del estrés físico mediante la estera rodante o cinta sinfín nos brindó un mejor resultado tanto en el diagnóstico de positividad de isquemia como en la valoración de la capacidad funcional, variables electrocardiográficas y hemodiná</w:t>
      </w:r>
      <w:r>
        <w:t>micas en cada paciente. El</w:t>
      </w:r>
      <w:r w:rsidRPr="001E20CD">
        <w:t xml:space="preserve"> uso de fármacos estresores del corazón se dejó para aquellos paci</w:t>
      </w:r>
      <w:r>
        <w:t>entes con indicaciones precisas como alteraciones ortopédicas, insuficiencia arterial periférica o alteraciones en el electrocardiograma basal, señalando que su uso fue en una pequeña p</w:t>
      </w:r>
      <w:r w:rsidR="00D23813">
        <w:t>oblación correspondiendo al 23,9</w:t>
      </w:r>
      <w:r>
        <w:t xml:space="preserve"> %.</w:t>
      </w:r>
      <w:r w:rsidRPr="001E20CD">
        <w:t xml:space="preserve"> Este tipo de metodología coincidió con </w:t>
      </w:r>
      <w:r w:rsidRPr="0032329D">
        <w:t>diferentes autores de varios artículos</w:t>
      </w:r>
      <w:r w:rsidRPr="001E20CD">
        <w:t xml:space="preserve"> que sugieren </w:t>
      </w:r>
      <w:r w:rsidRPr="001E20CD">
        <w:lastRenderedPageBreak/>
        <w:t>el uso del estrés físico como más fisiológico y beneficioso en las pruebas de perfusión miocárdica.</w:t>
      </w:r>
      <w:r w:rsidRPr="0032329D">
        <w:rPr>
          <w:vertAlign w:val="superscript"/>
        </w:rPr>
        <w:t xml:space="preserve"> </w:t>
      </w:r>
      <w:r>
        <w:rPr>
          <w:vertAlign w:val="superscript"/>
        </w:rPr>
        <w:t>8, 9, 21, 27-29.</w:t>
      </w:r>
    </w:p>
    <w:p w:rsidR="00D347DD" w:rsidRPr="001E20CD" w:rsidRDefault="00D347DD" w:rsidP="00D347DD">
      <w:pPr>
        <w:spacing w:line="480" w:lineRule="auto"/>
      </w:pPr>
      <w:r w:rsidRPr="001E20CD">
        <w:t>Aquellos con estudios catalogados como normales se asocian con buen pronóstico, libre de eventos “duros”, durante un período de tiempo variable, conocido como “período de garantía”, el cua</w:t>
      </w:r>
      <w:r>
        <w:t xml:space="preserve">l fue definido por </w:t>
      </w:r>
      <w:proofErr w:type="spellStart"/>
      <w:r>
        <w:t>Hachamovitch</w:t>
      </w:r>
      <w:proofErr w:type="spellEnd"/>
      <w:r>
        <w:rPr>
          <w:vertAlign w:val="superscript"/>
        </w:rPr>
        <w:t xml:space="preserve"> </w:t>
      </w:r>
      <w:r w:rsidRPr="001E20CD">
        <w:t>en un artículo publicado en 2003</w:t>
      </w:r>
      <w:r>
        <w:t xml:space="preserve"> </w:t>
      </w:r>
      <w:r>
        <w:rPr>
          <w:vertAlign w:val="superscript"/>
        </w:rPr>
        <w:t>32</w:t>
      </w:r>
      <w:r w:rsidRPr="001E20CD">
        <w:t xml:space="preserve"> y ha servido de base para investigaciones posteriores sobre el tema. En su trabajo, </w:t>
      </w:r>
      <w:proofErr w:type="spellStart"/>
      <w:r w:rsidRPr="001E20CD">
        <w:t>H</w:t>
      </w:r>
      <w:r>
        <w:t>achamovitch</w:t>
      </w:r>
      <w:proofErr w:type="spellEnd"/>
      <w:r>
        <w:t xml:space="preserve"> y colaboradores </w:t>
      </w:r>
      <w:r w:rsidRPr="001E20CD">
        <w:t xml:space="preserve">en una población de 7.376 pacientes con estudios </w:t>
      </w:r>
      <w:r>
        <w:t xml:space="preserve">de perfusión miocárdica normal </w:t>
      </w:r>
      <w:r w:rsidRPr="001E20CD">
        <w:t>realizada co</w:t>
      </w:r>
      <w:r>
        <w:t>n estrés físico o farmacológico</w:t>
      </w:r>
      <w:r w:rsidRPr="001E20CD">
        <w:t xml:space="preserve"> y un seguimiento de 665±200 días, encontraron que el riesgo para muerte cardíaca e infarto no fatal, era relativamente bajo en los pacientes sin enfermedad coronaria previa que tenían un estudio normal con ejercicio físico, y se acrecentaba en presencia de diabetes, disnea, mayor edad, así como en quienes se hacía el estudio bajo estrés farmacológico.</w:t>
      </w:r>
      <w:r>
        <w:rPr>
          <w:vertAlign w:val="superscript"/>
        </w:rPr>
        <w:t xml:space="preserve"> 33, 42</w:t>
      </w:r>
    </w:p>
    <w:p w:rsidR="00D347DD" w:rsidRPr="001E20CD" w:rsidRDefault="00D347DD" w:rsidP="00D347DD">
      <w:pPr>
        <w:spacing w:line="480" w:lineRule="auto"/>
      </w:pPr>
      <w:r w:rsidRPr="001E20CD">
        <w:t>En un estudio realizado por Romero-</w:t>
      </w:r>
      <w:proofErr w:type="spellStart"/>
      <w:r w:rsidRPr="001E20CD">
        <w:t>Farina</w:t>
      </w:r>
      <w:proofErr w:type="spellEnd"/>
      <w:r w:rsidRPr="001E20CD">
        <w:t xml:space="preserve"> y </w:t>
      </w:r>
      <w:proofErr w:type="spellStart"/>
      <w:r w:rsidRPr="001E20CD">
        <w:t>Candell</w:t>
      </w:r>
      <w:proofErr w:type="spellEnd"/>
      <w:r w:rsidRPr="001E20CD">
        <w:t>-Riera et al, publicado en el 2015, demostraron el pronóstico favorable y el alto periodo de garantía de tener perfusiones miocárdicas por SPECT normales. Estudiaron a 2922 pacientes de manera consecutiva y concluyeron que si la GPM normal, se asociaba a un mínimo de variables clínicas (edad, sexo, diabetes mellitus, antecedentes de EAC), una buena función ventricular, y haberse sometido a un estrés físico en la perfusión miocárdica el periodo de garantía libre de eventos duros era muy alto. De estos pacientes menos del 34,8% presentaron eventos duros (muerte, IM no fatal) en un plazo de 5 ± 3.3 años.</w:t>
      </w:r>
      <w:r>
        <w:rPr>
          <w:vertAlign w:val="superscript"/>
        </w:rPr>
        <w:t xml:space="preserve"> 43</w:t>
      </w:r>
    </w:p>
    <w:p w:rsidR="00D347DD" w:rsidRPr="001E20CD" w:rsidRDefault="00D347DD" w:rsidP="00D347DD">
      <w:pPr>
        <w:spacing w:line="480" w:lineRule="auto"/>
        <w:rPr>
          <w:u w:val="single"/>
        </w:rPr>
      </w:pPr>
      <w:proofErr w:type="spellStart"/>
      <w:r w:rsidRPr="001E20CD">
        <w:lastRenderedPageBreak/>
        <w:t>Camilletti</w:t>
      </w:r>
      <w:proofErr w:type="spellEnd"/>
      <w:r w:rsidRPr="001E20CD">
        <w:t xml:space="preserve"> y col. en una serie de 782 pacientes con estudios de perfusión miocárdica normales y de bajo riesgo, de acuerdo al score de suma de estrés y score de diferencia (SSS &lt;8 y SDS &lt;4) presentó muy baja tasa de eventos duros en los primeros cuatro años de seguimiento, menor al 1%, lo que podría definirse como el período de garantía del método. </w:t>
      </w:r>
      <w:proofErr w:type="spellStart"/>
      <w:r w:rsidRPr="001E20CD">
        <w:t>Elhendy</w:t>
      </w:r>
      <w:proofErr w:type="spellEnd"/>
      <w:r w:rsidRPr="001E20CD">
        <w:t xml:space="preserve"> y col. en una serie</w:t>
      </w:r>
      <w:r w:rsidRPr="001E20CD">
        <w:rPr>
          <w:u w:val="single"/>
        </w:rPr>
        <w:t xml:space="preserve"> </w:t>
      </w:r>
      <w:r w:rsidRPr="001E20CD">
        <w:t>de 218 pacientes referidos para realizarse un estudio de perfusión miocárdica de estrés, encontraron una tasa de eventos duros, muerte e infarto agudo de miocardio, de 0,7% durante los cinco años de seguimiento</w:t>
      </w:r>
      <w:r w:rsidR="00F74383">
        <w:t xml:space="preserve"> en pacientes con perfusiones miocárdicas normales</w:t>
      </w:r>
      <w:r w:rsidRPr="001E20CD">
        <w:t>.</w:t>
      </w:r>
      <w:r w:rsidRPr="001E20CD">
        <w:rPr>
          <w:vertAlign w:val="superscript"/>
        </w:rPr>
        <w:t xml:space="preserve"> 7</w:t>
      </w:r>
    </w:p>
    <w:p w:rsidR="00D347DD" w:rsidRPr="001E20CD" w:rsidRDefault="00D347DD" w:rsidP="00D347DD">
      <w:pPr>
        <w:spacing w:line="480" w:lineRule="auto"/>
      </w:pPr>
      <w:r w:rsidRPr="001E20CD">
        <w:t xml:space="preserve">En el estudio de </w:t>
      </w:r>
      <w:proofErr w:type="spellStart"/>
      <w:r w:rsidRPr="001E20CD">
        <w:t>Cavadid</w:t>
      </w:r>
      <w:proofErr w:type="spellEnd"/>
      <w:r w:rsidRPr="001E20CD">
        <w:t xml:space="preserve"> y col. en una serie de 154 pacientes que completaron el seguimiento, se presentaron 14 eventos. Los pacientes con estudios anormales tuvieron mayor cantidad de eventos (13 vs. 1 p = 0,019) respecto a aquellos con estudios normales. Los </w:t>
      </w:r>
      <w:r>
        <w:t>resultados de perfusi</w:t>
      </w:r>
      <w:r w:rsidRPr="001E20CD">
        <w:t>ón anormal se relacionaron con mayor incidencia de eventos</w:t>
      </w:r>
      <w:r w:rsidR="0051061C">
        <w:t xml:space="preserve"> isquémicos</w:t>
      </w:r>
      <w:r w:rsidRPr="001E20CD">
        <w:t xml:space="preserve"> (15,19%). Un estudio SPECT miocárdico normal se asocia con incidencia reducida de eventos cardiovasculares mayores en el seguimiento a un año, aun en pacientes con características clínicas de alto riesgo.</w:t>
      </w:r>
      <w:r>
        <w:rPr>
          <w:vertAlign w:val="superscript"/>
        </w:rPr>
        <w:t xml:space="preserve"> 32</w:t>
      </w:r>
    </w:p>
    <w:p w:rsidR="0051061C" w:rsidRPr="001E20CD" w:rsidRDefault="0051061C" w:rsidP="0051061C">
      <w:pPr>
        <w:spacing w:line="480" w:lineRule="auto"/>
      </w:pPr>
      <w:r w:rsidRPr="001E20CD">
        <w:t>En casi todos estos estudios de perfusión miocárdica normal presentan una baja tasa de eventos cardíacos mayores (muert</w:t>
      </w:r>
      <w:r>
        <w:t>e o IM no fatal) inferior al 1% por año</w:t>
      </w:r>
      <w:r w:rsidRPr="001E20CD">
        <w:t xml:space="preserve"> y ésta se incrementa significativamente cuando se la relaciona con la extensión de los defectos reversibles, los puntajes de severidad y el número de segmentos anormales.</w:t>
      </w:r>
      <w:r>
        <w:rPr>
          <w:vertAlign w:val="superscript"/>
        </w:rPr>
        <w:t xml:space="preserve"> 7,8,40</w:t>
      </w:r>
    </w:p>
    <w:p w:rsidR="00D347DD" w:rsidRPr="001E20CD" w:rsidRDefault="00D347DD" w:rsidP="00D347DD">
      <w:pPr>
        <w:spacing w:line="480" w:lineRule="auto"/>
      </w:pPr>
      <w:r w:rsidRPr="001E20CD">
        <w:t>Entre tanto, como se indicó antes, a aquellos pacientes con estudios de perfusión miocárdica anormales, es decir con defectos de tip</w:t>
      </w:r>
      <w:r>
        <w:t xml:space="preserve">o reversible </w:t>
      </w:r>
      <w:r w:rsidRPr="001E20CD">
        <w:t xml:space="preserve">que </w:t>
      </w:r>
      <w:r w:rsidRPr="001E20CD">
        <w:lastRenderedPageBreak/>
        <w:t>d</w:t>
      </w:r>
      <w:r>
        <w:t>enotan la presencia de isquemia, defectos fijos i</w:t>
      </w:r>
      <w:r w:rsidRPr="001E20CD">
        <w:t xml:space="preserve">ndicativos de áreas </w:t>
      </w:r>
      <w:r>
        <w:t xml:space="preserve">de necrosis miocárdica definida o la combinación de éstos, </w:t>
      </w:r>
      <w:r w:rsidRPr="001E20CD">
        <w:t xml:space="preserve">infarto y territorios </w:t>
      </w:r>
      <w:r>
        <w:t xml:space="preserve">isquémicos, </w:t>
      </w:r>
      <w:r w:rsidRPr="001E20CD">
        <w:t>se les asocia c</w:t>
      </w:r>
      <w:r w:rsidR="0051061C">
        <w:t>on mayor tasa de eventos isquémicos</w:t>
      </w:r>
      <w:r w:rsidRPr="001E20CD">
        <w:t>, pues, a medida que la extensión y la severidad de los defectos encontrados en la perfusión son mayores, también lo será la</w:t>
      </w:r>
      <w:r w:rsidR="0051061C">
        <w:t xml:space="preserve"> presencia de eventos isquémicos futuros</w:t>
      </w:r>
      <w:r w:rsidRPr="001E20CD">
        <w:t>.</w:t>
      </w:r>
      <w:r>
        <w:rPr>
          <w:vertAlign w:val="superscript"/>
        </w:rPr>
        <w:t xml:space="preserve"> 42</w:t>
      </w:r>
    </w:p>
    <w:p w:rsidR="0051061C" w:rsidRDefault="00D347DD" w:rsidP="00D347DD">
      <w:pPr>
        <w:spacing w:line="480" w:lineRule="auto"/>
      </w:pPr>
      <w:r w:rsidRPr="00B96002">
        <w:t>En este estudio</w:t>
      </w:r>
      <w:r w:rsidR="00B96002" w:rsidRPr="00B96002">
        <w:t xml:space="preserve"> se demostró como en el 58,9</w:t>
      </w:r>
      <w:r w:rsidR="0051061C" w:rsidRPr="00B96002">
        <w:t>% de los pacientes con perfusiones miocárdicas negativas no se evidenc</w:t>
      </w:r>
      <w:r w:rsidR="00B96002" w:rsidRPr="00B96002">
        <w:t>ió eventos isquémicos en el 97,2</w:t>
      </w:r>
      <w:r w:rsidR="0051061C" w:rsidRPr="00B96002">
        <w:t>%</w:t>
      </w:r>
      <w:r w:rsidR="0051061C">
        <w:t xml:space="preserve"> de ellos, siendo casi su totalidad y demostrando un alto margen de seguridad en un periodo libre de eventos isquémicos tras la confirmación de tener un estudio de imagen de perfusión miocárdica normal.</w:t>
      </w:r>
      <w:r w:rsidR="00BC63F1">
        <w:t xml:space="preserve"> En cambio</w:t>
      </w:r>
      <w:r w:rsidR="00485976">
        <w:t>,</w:t>
      </w:r>
      <w:r w:rsidR="00B96002">
        <w:t xml:space="preserve"> al 41,1</w:t>
      </w:r>
      <w:r w:rsidR="00BC63F1">
        <w:t>% de los pacientes que se le demostró isquemia miocárdica en la PM presentaron durante ese período de tiempo síndrome</w:t>
      </w:r>
      <w:r w:rsidR="00B96002">
        <w:t xml:space="preserve">s coronarios agudos y crónicos, además por la severidad de la isquemia y lesiones coronarias se tuvieron la </w:t>
      </w:r>
      <w:r w:rsidR="00BC63F1">
        <w:t xml:space="preserve">necesidad de revascularización miocárdica. coincidiendo con la literatura el valor pronóstico de la PM en la predicción de eventos isquémicos tras el resultado normal o no de la misma. </w:t>
      </w:r>
    </w:p>
    <w:p w:rsidR="006566AD" w:rsidRPr="001E20CD" w:rsidRDefault="00485976" w:rsidP="006566AD">
      <w:pPr>
        <w:spacing w:line="480" w:lineRule="auto"/>
      </w:pPr>
      <w:r>
        <w:t xml:space="preserve"> </w:t>
      </w:r>
      <w:r w:rsidR="006566AD" w:rsidRPr="001E20CD">
        <w:t xml:space="preserve">La </w:t>
      </w:r>
      <w:proofErr w:type="spellStart"/>
      <w:r w:rsidR="006566AD" w:rsidRPr="001E20CD">
        <w:t>coronariografía</w:t>
      </w:r>
      <w:proofErr w:type="spellEnd"/>
      <w:r w:rsidR="006566AD" w:rsidRPr="001E20CD">
        <w:t xml:space="preserve"> es un método exploratorio mínimamente invasivo que con la inyección de un contraste y la colocación de un catéter permite estudiar la luz de las arterias coronarias, y se considera positiva cuando se tienen imágenes de obstrucción en las arterias coronarias y negativo cuando no existe imágenes de obstrucción.</w:t>
      </w:r>
      <w:r w:rsidR="004B0FD8">
        <w:rPr>
          <w:vertAlign w:val="superscript"/>
        </w:rPr>
        <w:t xml:space="preserve"> 21, 23, 47</w:t>
      </w:r>
    </w:p>
    <w:p w:rsidR="006566AD" w:rsidRPr="001E20CD" w:rsidRDefault="006566AD" w:rsidP="006566AD">
      <w:pPr>
        <w:pStyle w:val="NormalWeb"/>
        <w:spacing w:line="480" w:lineRule="auto"/>
        <w:rPr>
          <w:rFonts w:ascii="Arial" w:hAnsi="Arial"/>
        </w:rPr>
      </w:pPr>
      <w:r w:rsidRPr="001E20CD">
        <w:rPr>
          <w:rFonts w:ascii="Arial" w:hAnsi="Arial"/>
        </w:rPr>
        <w:t xml:space="preserve">Actualmente la angiografía coronaria invasiva constituye el estándar dorado para el diagnóstico de la enfermedad arterial coronaria significativa (ECS); sin </w:t>
      </w:r>
      <w:r w:rsidRPr="001E20CD">
        <w:rPr>
          <w:rFonts w:ascii="Arial" w:hAnsi="Arial"/>
        </w:rPr>
        <w:lastRenderedPageBreak/>
        <w:t xml:space="preserve">embargo, es un proceder invasivo asociado a riesgos y complicaciones. Se reporta que entre un 20% y un 40% de las </w:t>
      </w:r>
      <w:proofErr w:type="spellStart"/>
      <w:r w:rsidRPr="001E20CD">
        <w:rPr>
          <w:rFonts w:ascii="Arial" w:hAnsi="Arial"/>
        </w:rPr>
        <w:t>coronariografías</w:t>
      </w:r>
      <w:proofErr w:type="spellEnd"/>
      <w:r w:rsidRPr="001E20CD">
        <w:rPr>
          <w:rFonts w:ascii="Arial" w:hAnsi="Arial"/>
        </w:rPr>
        <w:t xml:space="preserve"> invasivas son realizadas para diagnóstico sin que se aplique un tratamiento.  Por tanto, es importante realizar investigaciones menos invasivas para evitar o reducir el uso excesivo de la angiografía coronaria invasiva.</w:t>
      </w:r>
      <w:r>
        <w:rPr>
          <w:rFonts w:ascii="Arial" w:hAnsi="Arial"/>
          <w:vertAlign w:val="superscript"/>
        </w:rPr>
        <w:t xml:space="preserve"> 25, 31</w:t>
      </w:r>
    </w:p>
    <w:p w:rsidR="006566AD" w:rsidRPr="001E20CD" w:rsidRDefault="006566AD" w:rsidP="006566AD">
      <w:pPr>
        <w:spacing w:line="480" w:lineRule="auto"/>
      </w:pPr>
      <w:r w:rsidRPr="001E20CD">
        <w:t xml:space="preserve">También hay que tener en cuenta que los valores de sensibilidad y especificidad, considerando el cateterismo como patrón de referencia, resultan afectados por la decisión de realizar la </w:t>
      </w:r>
      <w:proofErr w:type="spellStart"/>
      <w:r w:rsidRPr="001E20CD">
        <w:t>coronariografía</w:t>
      </w:r>
      <w:proofErr w:type="spellEnd"/>
      <w:r w:rsidRPr="001E20CD">
        <w:t xml:space="preserve"> basada en los resultados del estudio con isótopos, ya que sólo se someten a ésta los que tienen resultados anormales, por lo que los pacientes con resultados normales no suelen ser comprobados mediante dicha técnica de referencia.</w:t>
      </w:r>
      <w:r w:rsidR="003A5102">
        <w:rPr>
          <w:vertAlign w:val="superscript"/>
        </w:rPr>
        <w:t xml:space="preserve"> 34,47</w:t>
      </w:r>
    </w:p>
    <w:p w:rsidR="006566AD" w:rsidRPr="001E20CD" w:rsidRDefault="006566AD" w:rsidP="006566AD">
      <w:pPr>
        <w:spacing w:line="480" w:lineRule="auto"/>
      </w:pPr>
      <w:proofErr w:type="spellStart"/>
      <w:r w:rsidRPr="001E20CD">
        <w:t>Hornez</w:t>
      </w:r>
      <w:proofErr w:type="spellEnd"/>
      <w:r w:rsidRPr="001E20CD">
        <w:t xml:space="preserve"> y col. realizó 12 estudios con un total de 721 pacientes con una baja probabilidad de coronariopatía. Entre los resultados obtenidos se evidenció que de los pacientes con prueba de perfusión miocárdica positiva el 68,2% tenían también un resultado positivo a la </w:t>
      </w:r>
      <w:proofErr w:type="spellStart"/>
      <w:r w:rsidRPr="001E20CD">
        <w:t>coronariografía</w:t>
      </w:r>
      <w:proofErr w:type="spellEnd"/>
      <w:r w:rsidRPr="001E20CD">
        <w:t>, entre otros datos. Por lo tanto, la prueba de perfusión miocárdica puede considerarse un método de elección en el estudio y diagnóstico de cardiopatía isquémica ya que tiene conc</w:t>
      </w:r>
      <w:r w:rsidR="00915ED2">
        <w:t xml:space="preserve">ordancia en comparación al </w:t>
      </w:r>
      <w:r w:rsidRPr="001E20CD">
        <w:t>estándar</w:t>
      </w:r>
      <w:r w:rsidR="00915ED2">
        <w:t xml:space="preserve"> dorado de su diagnóstico</w:t>
      </w:r>
      <w:r w:rsidRPr="001E20CD">
        <w:t xml:space="preserve">: la </w:t>
      </w:r>
      <w:proofErr w:type="spellStart"/>
      <w:r w:rsidRPr="001E20CD">
        <w:t>coronariografía</w:t>
      </w:r>
      <w:proofErr w:type="spellEnd"/>
      <w:r w:rsidRPr="001E20CD">
        <w:t>.</w:t>
      </w:r>
      <w:r w:rsidR="003A5102">
        <w:rPr>
          <w:vertAlign w:val="superscript"/>
        </w:rPr>
        <w:t xml:space="preserve"> 47</w:t>
      </w:r>
    </w:p>
    <w:p w:rsidR="006566AD" w:rsidRPr="001E20CD" w:rsidRDefault="006566AD" w:rsidP="006566AD">
      <w:pPr>
        <w:spacing w:line="480" w:lineRule="auto"/>
        <w:rPr>
          <w:vertAlign w:val="superscript"/>
        </w:rPr>
      </w:pPr>
      <w:proofErr w:type="spellStart"/>
      <w:r w:rsidRPr="001E20CD">
        <w:t>Casáns</w:t>
      </w:r>
      <w:proofErr w:type="spellEnd"/>
      <w:r w:rsidRPr="001E20CD">
        <w:t xml:space="preserve">-Torno y col. en un artículo de revisión exponen como el uso de los resultados de la SPECT de perfusión miocárdica en la selección de los pacientes con angina estable, que han de someterse a un cateterismo cardiaco, produce una considerable reducción de los costes. Se demostró una importante disminución de cateterismos innecesarios con resultados normales, con una </w:t>
      </w:r>
      <w:r w:rsidRPr="001E20CD">
        <w:lastRenderedPageBreak/>
        <w:t xml:space="preserve">reducción de costes del 31 al 50%, para todos los niveles de riesgo previo. Estos coincidieron con otros estudios en sus resultados, mencionándolos en su reporte como el de Shaw y col. en un estudio </w:t>
      </w:r>
      <w:proofErr w:type="spellStart"/>
      <w:r w:rsidRPr="001E20CD">
        <w:t>multicéntrico</w:t>
      </w:r>
      <w:proofErr w:type="spellEnd"/>
      <w:r w:rsidRPr="001E20CD">
        <w:t xml:space="preserve"> con 11.249 pacientes en Estados Unidos.</w:t>
      </w:r>
      <w:r>
        <w:rPr>
          <w:vertAlign w:val="superscript"/>
        </w:rPr>
        <w:t xml:space="preserve"> 34</w:t>
      </w:r>
    </w:p>
    <w:p w:rsidR="00485976" w:rsidRDefault="00D347DD" w:rsidP="00D347DD">
      <w:pPr>
        <w:spacing w:line="480" w:lineRule="auto"/>
      </w:pPr>
      <w:r w:rsidRPr="001E20CD">
        <w:t xml:space="preserve">Con la finalidad de conocer la prevalencia de la asociación de una SPECT de perfusión miocárdica negativa junto con un ECG de esfuerzo positivo y su significación </w:t>
      </w:r>
      <w:proofErr w:type="spellStart"/>
      <w:r w:rsidRPr="001E20CD">
        <w:t>coronariográfica</w:t>
      </w:r>
      <w:proofErr w:type="spellEnd"/>
      <w:r w:rsidRPr="001E20CD">
        <w:t xml:space="preserve">, </w:t>
      </w:r>
      <w:proofErr w:type="spellStart"/>
      <w:r w:rsidRPr="001E20CD">
        <w:t>Candell</w:t>
      </w:r>
      <w:proofErr w:type="spellEnd"/>
      <w:r w:rsidRPr="001E20CD">
        <w:t xml:space="preserve">-Riera y col. revisaron todas las SPECT practicadas en su centro durante los últimos 8 años. En el mismo se evidenció que de una serie consecutiva de 7.350 estudios con SPECT de perfusión miocárdica, 66 pacientes (0,9%) con un electrocardiograma (ECG) de base normal y no </w:t>
      </w:r>
      <w:proofErr w:type="spellStart"/>
      <w:r w:rsidRPr="001E20CD">
        <w:t>revascularizados</w:t>
      </w:r>
      <w:proofErr w:type="spellEnd"/>
      <w:r w:rsidRPr="001E20CD">
        <w:t xml:space="preserve"> presentaron un estudio </w:t>
      </w:r>
      <w:proofErr w:type="spellStart"/>
      <w:r w:rsidRPr="001E20CD">
        <w:t>gammagráfico</w:t>
      </w:r>
      <w:proofErr w:type="spellEnd"/>
      <w:r w:rsidRPr="001E20CD">
        <w:t xml:space="preserve"> normal junto con un ECG positivo en la prueba de esfuerzo.</w:t>
      </w:r>
      <w:r w:rsidRPr="00950CBA">
        <w:rPr>
          <w:vertAlign w:val="superscript"/>
        </w:rPr>
        <w:t xml:space="preserve"> </w:t>
      </w:r>
      <w:r>
        <w:rPr>
          <w:vertAlign w:val="superscript"/>
        </w:rPr>
        <w:t>36</w:t>
      </w:r>
      <w:r w:rsidRPr="001E20CD">
        <w:t xml:space="preserve"> </w:t>
      </w:r>
    </w:p>
    <w:p w:rsidR="008F364A" w:rsidRDefault="006566AD" w:rsidP="00D347DD">
      <w:pPr>
        <w:spacing w:line="480" w:lineRule="auto"/>
      </w:pPr>
      <w:r w:rsidRPr="001E20CD">
        <w:t>En este estudio que se presenta existió una asociación</w:t>
      </w:r>
      <w:r>
        <w:t xml:space="preserve"> casi proporcional</w:t>
      </w:r>
      <w:r w:rsidRPr="001E20CD">
        <w:t xml:space="preserve"> entre los resultados positivos de isquemia miocárdica en la GPM y los hallazgos en los estudios </w:t>
      </w:r>
      <w:proofErr w:type="spellStart"/>
      <w:r w:rsidRPr="001E20CD">
        <w:t>angiográficos</w:t>
      </w:r>
      <w:proofErr w:type="spellEnd"/>
      <w:r w:rsidRPr="001E20CD">
        <w:t xml:space="preserve"> de la anat</w:t>
      </w:r>
      <w:r>
        <w:t>omía c</w:t>
      </w:r>
      <w:r w:rsidR="008F364A">
        <w:t>oronaria. Se demostró en el 82,4</w:t>
      </w:r>
      <w:r>
        <w:t>% de los pacientes</w:t>
      </w:r>
      <w:r w:rsidRPr="001E20CD">
        <w:t xml:space="preserve"> </w:t>
      </w:r>
      <w:r w:rsidR="008F364A">
        <w:t>con PM positivas</w:t>
      </w:r>
      <w:r w:rsidRPr="001E20CD">
        <w:t xml:space="preserve"> lesiones obstructivas coronarias mayores del 50% en uno o varios vasos coronarios. Estos datos coinciden con varios autores</w:t>
      </w:r>
      <w:r>
        <w:t xml:space="preserve"> </w:t>
      </w:r>
      <w:r w:rsidRPr="001E20CD">
        <w:t>de como la presencia d</w:t>
      </w:r>
      <w:r>
        <w:t>e isquemia miocárdica en las GPM</w:t>
      </w:r>
      <w:r w:rsidRPr="001E20CD">
        <w:t xml:space="preserve"> guardan estrecha relación con obstrucciones coronarias significativas</w:t>
      </w:r>
      <w:r w:rsidR="008F364A">
        <w:t>.</w:t>
      </w:r>
      <w:r w:rsidR="008F364A">
        <w:rPr>
          <w:vertAlign w:val="superscript"/>
        </w:rPr>
        <w:t>6, 17, 18, 22, 25, 37, 4</w:t>
      </w:r>
      <w:r w:rsidR="003A5102">
        <w:rPr>
          <w:vertAlign w:val="superscript"/>
        </w:rPr>
        <w:t>5</w:t>
      </w:r>
    </w:p>
    <w:p w:rsidR="00D347DD" w:rsidRDefault="00485178" w:rsidP="00D347DD">
      <w:pPr>
        <w:spacing w:line="480" w:lineRule="auto"/>
      </w:pPr>
      <w:r>
        <w:t xml:space="preserve"> Además</w:t>
      </w:r>
      <w:r w:rsidR="008F364A">
        <w:t>,</w:t>
      </w:r>
      <w:r>
        <w:t xml:space="preserve"> se analizó que de </w:t>
      </w:r>
      <w:r w:rsidR="008F364A">
        <w:t>los 74</w:t>
      </w:r>
      <w:r w:rsidR="00485976">
        <w:t xml:space="preserve"> pacientes</w:t>
      </w:r>
      <w:r w:rsidR="00D347DD" w:rsidRPr="001E20CD">
        <w:t xml:space="preserve"> con est</w:t>
      </w:r>
      <w:r w:rsidR="00D347DD">
        <w:t>u</w:t>
      </w:r>
      <w:r w:rsidR="00485976">
        <w:t xml:space="preserve">dio de </w:t>
      </w:r>
      <w:proofErr w:type="spellStart"/>
      <w:r w:rsidR="00485976">
        <w:t>coronariografía</w:t>
      </w:r>
      <w:proofErr w:type="spellEnd"/>
      <w:r>
        <w:t>,</w:t>
      </w:r>
      <w:r w:rsidR="00485976">
        <w:t xml:space="preserve"> 13</w:t>
      </w:r>
      <w:r w:rsidR="006566AD">
        <w:t xml:space="preserve"> </w:t>
      </w:r>
      <w:r w:rsidR="00D347DD">
        <w:t>pacientes</w:t>
      </w:r>
      <w:r w:rsidR="008F364A">
        <w:t xml:space="preserve"> (17,6</w:t>
      </w:r>
      <w:r w:rsidR="000A71CF">
        <w:t>%) no</w:t>
      </w:r>
      <w:r w:rsidR="00D347DD">
        <w:t xml:space="preserve"> tenían lesiones significativas en las arterias coronarias y presentaron alteraciones electrocardiográficas sugestivas de isquémicas en la prueba </w:t>
      </w:r>
      <w:proofErr w:type="spellStart"/>
      <w:r w:rsidR="00D347DD">
        <w:t>ergométrica</w:t>
      </w:r>
      <w:proofErr w:type="spellEnd"/>
      <w:r w:rsidR="00D347DD">
        <w:t>. A los mismos se les demostró la isquemia cardiaca en la GPM</w:t>
      </w:r>
      <w:r w:rsidR="00D347DD" w:rsidRPr="001E20CD">
        <w:t xml:space="preserve">. </w:t>
      </w:r>
    </w:p>
    <w:p w:rsidR="00D347DD" w:rsidRPr="001E20CD" w:rsidRDefault="00D347DD" w:rsidP="00D347DD">
      <w:pPr>
        <w:spacing w:line="480" w:lineRule="auto"/>
      </w:pPr>
      <w:r>
        <w:lastRenderedPageBreak/>
        <w:t xml:space="preserve"> </w:t>
      </w:r>
      <w:r w:rsidRPr="001E20CD">
        <w:t xml:space="preserve">Según </w:t>
      </w:r>
      <w:proofErr w:type="spellStart"/>
      <w:r w:rsidRPr="001E20CD">
        <w:t>Peix</w:t>
      </w:r>
      <w:proofErr w:type="spellEnd"/>
      <w:r w:rsidRPr="001E20CD">
        <w:t xml:space="preserve"> y colaboradores en la mujer posmenopáusica hay que tener en cuenta la angina </w:t>
      </w:r>
      <w:proofErr w:type="spellStart"/>
      <w:r w:rsidRPr="001E20CD">
        <w:t>microvascular</w:t>
      </w:r>
      <w:proofErr w:type="spellEnd"/>
      <w:r w:rsidRPr="001E20CD">
        <w:t xml:space="preserve"> como causa de gammagrafía positiva en presencia de coronarias normales, por lo que estos casos no pueden considerarse de forma absoluta como falsos positivos de isquemia miocárdica. El término “angina </w:t>
      </w:r>
      <w:proofErr w:type="spellStart"/>
      <w:r w:rsidRPr="001E20CD">
        <w:t>microvascular</w:t>
      </w:r>
      <w:proofErr w:type="spellEnd"/>
      <w:r w:rsidRPr="001E20CD">
        <w:t xml:space="preserve">” se refiere a una alteración de la microcirculación coronaria en pacientes con arterias coronarias </w:t>
      </w:r>
      <w:proofErr w:type="spellStart"/>
      <w:r w:rsidRPr="001E20CD">
        <w:t>epicárdicas</w:t>
      </w:r>
      <w:proofErr w:type="spellEnd"/>
      <w:r w:rsidRPr="001E20CD">
        <w:t xml:space="preserve"> normales y sin evidencia de espasmo coronario.</w:t>
      </w:r>
      <w:r>
        <w:rPr>
          <w:vertAlign w:val="superscript"/>
        </w:rPr>
        <w:t xml:space="preserve"> 25,38</w:t>
      </w:r>
    </w:p>
    <w:p w:rsidR="00D347DD" w:rsidRDefault="00D347DD" w:rsidP="00D347DD">
      <w:pPr>
        <w:spacing w:line="480" w:lineRule="auto"/>
      </w:pPr>
      <w:r w:rsidRPr="001E20CD">
        <w:t>Vale la pena mencionar, que además de la denominada “isquemia balanceada”, es decir, aquella imagen de perfusión miocárdica sin defectos, interpretada como normal, secundaria a</w:t>
      </w:r>
      <w:r>
        <w:t xml:space="preserve"> enfermedad </w:t>
      </w:r>
      <w:proofErr w:type="spellStart"/>
      <w:r>
        <w:t>multivaso</w:t>
      </w:r>
      <w:proofErr w:type="spellEnd"/>
      <w:r w:rsidRPr="001E20CD">
        <w:t xml:space="preserve">, existen otras causas de “falsos negativos”. </w:t>
      </w:r>
      <w:r>
        <w:t xml:space="preserve">Entre esas causas se incluye </w:t>
      </w:r>
      <w:r w:rsidRPr="001E20CD">
        <w:t xml:space="preserve">realizar el examen en presencia de </w:t>
      </w:r>
      <w:proofErr w:type="spellStart"/>
      <w:r w:rsidRPr="001E20CD">
        <w:t>xantinas</w:t>
      </w:r>
      <w:proofErr w:type="spellEnd"/>
      <w:r w:rsidRPr="001E20CD">
        <w:t xml:space="preserve"> (cafeína, teobromina, teofilina entre otras) que bloquean la respuesta al </w:t>
      </w:r>
      <w:proofErr w:type="spellStart"/>
      <w:r w:rsidRPr="001E20CD">
        <w:t>dipiridamol</w:t>
      </w:r>
      <w:proofErr w:type="spellEnd"/>
      <w:r w:rsidRPr="001E20CD">
        <w:t xml:space="preserve"> y sin indagar previamente si el paciente omitió los fármacos o bebidas que se restringen su uso para la prueba.</w:t>
      </w:r>
      <w:r>
        <w:rPr>
          <w:vertAlign w:val="superscript"/>
        </w:rPr>
        <w:t xml:space="preserve"> 42</w:t>
      </w:r>
      <w:r w:rsidRPr="001E20CD">
        <w:rPr>
          <w:vertAlign w:val="superscript"/>
        </w:rPr>
        <w:t>,</w:t>
      </w:r>
      <w:r>
        <w:rPr>
          <w:vertAlign w:val="superscript"/>
        </w:rPr>
        <w:t xml:space="preserve"> 44</w:t>
      </w:r>
    </w:p>
    <w:p w:rsidR="001B6F09" w:rsidRDefault="001B6F09" w:rsidP="001B6F09">
      <w:pPr>
        <w:spacing w:line="480" w:lineRule="auto"/>
      </w:pPr>
      <w:r w:rsidRPr="006F4D04">
        <w:t>Sumado</w:t>
      </w:r>
      <w:r>
        <w:t xml:space="preserve"> </w:t>
      </w:r>
      <w:r w:rsidRPr="006F4D04">
        <w:t>a</w:t>
      </w:r>
      <w:r>
        <w:t xml:space="preserve"> </w:t>
      </w:r>
      <w:r w:rsidRPr="006F4D04">
        <w:t>los</w:t>
      </w:r>
      <w:r>
        <w:t xml:space="preserve"> </w:t>
      </w:r>
      <w:r w:rsidRPr="006F4D04">
        <w:t>defectos</w:t>
      </w:r>
      <w:r>
        <w:t xml:space="preserve"> </w:t>
      </w:r>
      <w:r w:rsidRPr="006F4D04">
        <w:t>de</w:t>
      </w:r>
      <w:r>
        <w:t xml:space="preserve"> </w:t>
      </w:r>
      <w:r w:rsidRPr="006F4D04">
        <w:t>perfusión,</w:t>
      </w:r>
      <w:r>
        <w:t xml:space="preserve"> </w:t>
      </w:r>
      <w:r w:rsidRPr="006F4D04">
        <w:t>los</w:t>
      </w:r>
      <w:r>
        <w:t xml:space="preserve"> </w:t>
      </w:r>
      <w:r w:rsidRPr="006F4D04">
        <w:t>cuales pueden reflejar la presencia de isquemia, necrosis o hibernación, existe en un</w:t>
      </w:r>
      <w:r>
        <w:t>a serie de parámetros en los estudios de perfusión miocárdica</w:t>
      </w:r>
      <w:r w:rsidRPr="006F4D04">
        <w:t xml:space="preserve"> que, de estar presentes, constituyen predictores independientes de</w:t>
      </w:r>
      <w:r>
        <w:t xml:space="preserve"> </w:t>
      </w:r>
      <w:r w:rsidRPr="006F4D04">
        <w:t>riesgo</w:t>
      </w:r>
      <w:r>
        <w:t>. L</w:t>
      </w:r>
      <w:r w:rsidRPr="00BE64B3">
        <w:t>a presencia de hallazgos adicionales</w:t>
      </w:r>
      <w:r>
        <w:t xml:space="preserve"> </w:t>
      </w:r>
      <w:r w:rsidRPr="00BE64B3">
        <w:t>a</w:t>
      </w:r>
      <w:r>
        <w:t xml:space="preserve"> </w:t>
      </w:r>
      <w:r w:rsidRPr="00BE64B3">
        <w:t>la</w:t>
      </w:r>
      <w:r>
        <w:t xml:space="preserve"> </w:t>
      </w:r>
      <w:r w:rsidRPr="00BE64B3">
        <w:t>perfusión</w:t>
      </w:r>
      <w:r>
        <w:t xml:space="preserve"> </w:t>
      </w:r>
      <w:r w:rsidRPr="00BE64B3">
        <w:t>puede</w:t>
      </w:r>
      <w:r>
        <w:t xml:space="preserve"> </w:t>
      </w:r>
      <w:r w:rsidRPr="00BE64B3">
        <w:t>sugerir</w:t>
      </w:r>
      <w:r>
        <w:t xml:space="preserve"> </w:t>
      </w:r>
      <w:r w:rsidRPr="00BE64B3">
        <w:t>que</w:t>
      </w:r>
      <w:r>
        <w:t xml:space="preserve"> </w:t>
      </w:r>
      <w:r w:rsidRPr="00BE64B3">
        <w:t>se</w:t>
      </w:r>
      <w:r>
        <w:t xml:space="preserve"> </w:t>
      </w:r>
      <w:r w:rsidRPr="00BE64B3">
        <w:t>está</w:t>
      </w:r>
      <w:r>
        <w:t xml:space="preserve"> </w:t>
      </w:r>
      <w:r w:rsidRPr="00BE64B3">
        <w:t>en presencia de un estudio falso negativo y evitar así la toma de decisiones clínicas equivocadas.</w:t>
      </w:r>
      <w:r>
        <w:t xml:space="preserve"> </w:t>
      </w:r>
      <w:r w:rsidRPr="00BE64B3">
        <w:t>Debe</w:t>
      </w:r>
      <w:r>
        <w:t xml:space="preserve"> </w:t>
      </w:r>
      <w:r w:rsidRPr="00BE64B3">
        <w:t>tenerse</w:t>
      </w:r>
      <w:r>
        <w:t xml:space="preserve"> </w:t>
      </w:r>
      <w:r w:rsidRPr="00BE64B3">
        <w:t>en</w:t>
      </w:r>
      <w:r>
        <w:t xml:space="preserve"> </w:t>
      </w:r>
      <w:r w:rsidRPr="00BE64B3">
        <w:t>cuenta</w:t>
      </w:r>
      <w:r>
        <w:t xml:space="preserve"> </w:t>
      </w:r>
      <w:r w:rsidRPr="00BE64B3">
        <w:t>que</w:t>
      </w:r>
      <w:r>
        <w:t xml:space="preserve"> </w:t>
      </w:r>
      <w:r w:rsidRPr="00BE64B3">
        <w:t>estos</w:t>
      </w:r>
      <w:r>
        <w:t xml:space="preserve"> </w:t>
      </w:r>
      <w:r w:rsidRPr="00BE64B3">
        <w:t>hallazgos pueden representar consecuencias fisiopatológicas diferentes de la isquemia y constituyen parámetros independientes de al</w:t>
      </w:r>
      <w:r>
        <w:t>to riesgo</w:t>
      </w:r>
      <w:r w:rsidRPr="00BE64B3">
        <w:t>, indicando la presencia de enfermedad coronaria severa aun a pesa</w:t>
      </w:r>
      <w:r>
        <w:t xml:space="preserve">r de una perfusión considerada </w:t>
      </w:r>
      <w:r w:rsidRPr="00BE64B3">
        <w:t>normal</w:t>
      </w:r>
      <w:r>
        <w:t>.</w:t>
      </w:r>
      <w:r>
        <w:rPr>
          <w:vertAlign w:val="superscript"/>
        </w:rPr>
        <w:t xml:space="preserve"> 38,40</w:t>
      </w:r>
    </w:p>
    <w:p w:rsidR="001B6F09" w:rsidRDefault="001B6F09" w:rsidP="001B6F09">
      <w:pPr>
        <w:spacing w:line="480" w:lineRule="auto"/>
      </w:pPr>
      <w:r>
        <w:lastRenderedPageBreak/>
        <w:t xml:space="preserve">Se ha demostrado que la FEVI </w:t>
      </w:r>
      <w:proofErr w:type="spellStart"/>
      <w:r>
        <w:t>postestrés</w:t>
      </w:r>
      <w:proofErr w:type="spellEnd"/>
      <w:r>
        <w:t xml:space="preserve"> asociada a la puntuación de perfusión proporcionan información diagnóstica y </w:t>
      </w:r>
      <w:proofErr w:type="spellStart"/>
      <w:r>
        <w:t>pronóstica</w:t>
      </w:r>
      <w:proofErr w:type="spellEnd"/>
      <w:r>
        <w:t xml:space="preserve"> independiente e incremental.</w:t>
      </w:r>
      <w:r>
        <w:rPr>
          <w:vertAlign w:val="superscript"/>
        </w:rPr>
        <w:t xml:space="preserve"> 38,40</w:t>
      </w:r>
    </w:p>
    <w:p w:rsidR="001B6F09" w:rsidRDefault="00657E53" w:rsidP="00657E53">
      <w:pPr>
        <w:spacing w:line="480" w:lineRule="auto"/>
      </w:pPr>
      <w:proofErr w:type="spellStart"/>
      <w:r>
        <w:t>Mutt</w:t>
      </w:r>
      <w:proofErr w:type="spellEnd"/>
      <w:r>
        <w:t xml:space="preserve"> y </w:t>
      </w:r>
      <w:proofErr w:type="spellStart"/>
      <w:r>
        <w:t>Beretta</w:t>
      </w:r>
      <w:proofErr w:type="spellEnd"/>
      <w:r>
        <w:t xml:space="preserve"> iniciaron hace unos años estudios de variables </w:t>
      </w:r>
      <w:proofErr w:type="spellStart"/>
      <w:r>
        <w:t>pronósticas</w:t>
      </w:r>
      <w:proofErr w:type="spellEnd"/>
      <w:r>
        <w:t xml:space="preserve"> de los estudios de perfusión miocárdica con el fin de predecir eventos futuros. En su artículo publicaron datos de diferentes investigaciones que reflejan el mismo efecto predictor de la FEVI </w:t>
      </w:r>
      <w:proofErr w:type="spellStart"/>
      <w:r>
        <w:t>postestrés</w:t>
      </w:r>
      <w:proofErr w:type="spellEnd"/>
      <w:r>
        <w:t xml:space="preserve">. </w:t>
      </w:r>
      <w:r w:rsidRPr="00937BB3">
        <w:t>En</w:t>
      </w:r>
      <w:r>
        <w:t xml:space="preserve"> </w:t>
      </w:r>
      <w:r w:rsidRPr="00937BB3">
        <w:t>un</w:t>
      </w:r>
      <w:r>
        <w:t xml:space="preserve"> </w:t>
      </w:r>
      <w:r w:rsidRPr="00937BB3">
        <w:t>estudio</w:t>
      </w:r>
      <w:r>
        <w:t xml:space="preserve"> </w:t>
      </w:r>
      <w:r w:rsidRPr="00937BB3">
        <w:t>que</w:t>
      </w:r>
      <w:r>
        <w:t xml:space="preserve"> </w:t>
      </w:r>
      <w:r w:rsidRPr="00937BB3">
        <w:t>involucró</w:t>
      </w:r>
      <w:r>
        <w:t xml:space="preserve"> </w:t>
      </w:r>
      <w:r w:rsidRPr="00937BB3">
        <w:t>1.680</w:t>
      </w:r>
      <w:r>
        <w:t xml:space="preserve"> </w:t>
      </w:r>
      <w:r w:rsidRPr="00937BB3">
        <w:t xml:space="preserve">pacientes, el mejor predictor de riesgo de muerte cardíaca fue la FEVI </w:t>
      </w:r>
      <w:proofErr w:type="spellStart"/>
      <w:r w:rsidRPr="00937BB3">
        <w:t>postestrés</w:t>
      </w:r>
      <w:proofErr w:type="spellEnd"/>
      <w:r w:rsidRPr="00937BB3">
        <w:t>, y este parámetro incluso fue superior a la extensión de los defectos de perfusión</w:t>
      </w:r>
      <w:r>
        <w:t xml:space="preserve">. </w:t>
      </w:r>
      <w:r w:rsidRPr="00937BB3">
        <w:t xml:space="preserve">Otro estudio sobre 1.612 pacientes con 99mTc-MIBI y </w:t>
      </w:r>
      <w:proofErr w:type="spellStart"/>
      <w:r w:rsidRPr="00937BB3">
        <w:t>gated</w:t>
      </w:r>
      <w:proofErr w:type="spellEnd"/>
      <w:r w:rsidRPr="00937BB3">
        <w:t xml:space="preserve"> SPECT confirmó que la FEVI </w:t>
      </w:r>
      <w:proofErr w:type="spellStart"/>
      <w:r w:rsidRPr="00937BB3">
        <w:t>postestrés</w:t>
      </w:r>
      <w:proofErr w:type="spellEnd"/>
      <w:r w:rsidRPr="00937BB3">
        <w:t xml:space="preserve"> predice futuros eventos cardíacos, de modo que con cada punto de caída de la FEVI el riesgo se incrementa en 3%</w:t>
      </w:r>
      <w:r>
        <w:t xml:space="preserve">. </w:t>
      </w:r>
      <w:r w:rsidRPr="00937BB3">
        <w:t>Cuanto más severa la isquemia inducida por el estrés, mayor probabilidad de aturdimiento, lo que indica mayor severidad de la cardiopatía</w:t>
      </w:r>
      <w:r>
        <w:t xml:space="preserve"> </w:t>
      </w:r>
      <w:r w:rsidRPr="00937BB3">
        <w:t>coronaria</w:t>
      </w:r>
      <w:r>
        <w:t>.</w:t>
      </w:r>
      <w:r>
        <w:rPr>
          <w:vertAlign w:val="superscript"/>
        </w:rPr>
        <w:t>40</w:t>
      </w:r>
    </w:p>
    <w:p w:rsidR="003B3DBA" w:rsidRDefault="003B3DBA" w:rsidP="003B3DBA">
      <w:pPr>
        <w:spacing w:line="480" w:lineRule="auto"/>
      </w:pPr>
      <w:r>
        <w:t xml:space="preserve">Alarcón y </w:t>
      </w:r>
      <w:proofErr w:type="spellStart"/>
      <w:r>
        <w:t>cols</w:t>
      </w:r>
      <w:proofErr w:type="spellEnd"/>
      <w:r>
        <w:t>, en un artículo publicado en el 2018, analizaron con SPECT mediante estrés farmacológico a</w:t>
      </w:r>
      <w:r w:rsidRPr="00BA354F">
        <w:t xml:space="preserve"> un total </w:t>
      </w:r>
      <w:r>
        <w:t xml:space="preserve">de 1.000 estudios, al revisar los factores de riesgo de muerte por causa cardíaca, en el análisis </w:t>
      </w:r>
      <w:proofErr w:type="spellStart"/>
      <w:r>
        <w:t>bivariado</w:t>
      </w:r>
      <w:proofErr w:type="spellEnd"/>
      <w:r>
        <w:t>, lo fueron el presentar un SPECT anormal [HR 3,74; IC: 2,15-6,51; p &lt; 0,001],</w:t>
      </w:r>
      <w:r w:rsidRPr="00BA354F">
        <w:t xml:space="preserve"> </w:t>
      </w:r>
      <w:r>
        <w:t>l</w:t>
      </w:r>
      <w:r w:rsidRPr="00BA354F">
        <w:t xml:space="preserve">a FEVI, como variable continua, en reposo [HR: 0,95; IC: 0,94-0,96; p &lt; 0,001] y en </w:t>
      </w:r>
      <w:proofErr w:type="spellStart"/>
      <w:r w:rsidRPr="00BA354F">
        <w:t>postestrés</w:t>
      </w:r>
      <w:proofErr w:type="spellEnd"/>
      <w:r w:rsidRPr="00BA354F">
        <w:t xml:space="preserve"> [HR: 0,95; IC: 0,94-0,96; p &lt; 0,001] se asociaron positivamente a sobrevida.</w:t>
      </w:r>
      <w:r>
        <w:t xml:space="preserve"> En el análisis multivariado, una mejor FEVI </w:t>
      </w:r>
      <w:proofErr w:type="spellStart"/>
      <w:r>
        <w:t>postestrés</w:t>
      </w:r>
      <w:proofErr w:type="spellEnd"/>
      <w:r>
        <w:t xml:space="preserve"> también se asoció a mayor sobrevida [HR: 0,95; IC: 0,92-0,99; p = 0,006].</w:t>
      </w:r>
      <w:r w:rsidRPr="003B3DBA">
        <w:rPr>
          <w:vertAlign w:val="superscript"/>
        </w:rPr>
        <w:t xml:space="preserve"> </w:t>
      </w:r>
      <w:r w:rsidR="003A5102">
        <w:rPr>
          <w:vertAlign w:val="superscript"/>
        </w:rPr>
        <w:t>48</w:t>
      </w:r>
    </w:p>
    <w:p w:rsidR="003B3DBA" w:rsidRDefault="003B3DBA" w:rsidP="003B3DBA">
      <w:pPr>
        <w:spacing w:line="480" w:lineRule="auto"/>
      </w:pPr>
      <w:r w:rsidRPr="002979BD">
        <w:t xml:space="preserve">La presencia de anormalidades en el SPECT miocárdico como isquemia, infarto, dilatación o disfunción sistólica izquierda especialmente </w:t>
      </w:r>
      <w:proofErr w:type="spellStart"/>
      <w:r w:rsidRPr="002979BD">
        <w:t>postestrés</w:t>
      </w:r>
      <w:proofErr w:type="spellEnd"/>
      <w:r w:rsidRPr="002979BD">
        <w:t xml:space="preserve">, </w:t>
      </w:r>
      <w:r w:rsidRPr="002979BD">
        <w:lastRenderedPageBreak/>
        <w:t>fueron predictores independientes de mortalidad cardíac</w:t>
      </w:r>
      <w:r>
        <w:t>a en la población sometida a fármacos</w:t>
      </w:r>
      <w:r w:rsidRPr="002979BD">
        <w:t xml:space="preserve"> como agente estresor</w:t>
      </w:r>
      <w:r>
        <w:t>.</w:t>
      </w:r>
      <w:r w:rsidRPr="003B3DBA">
        <w:rPr>
          <w:vertAlign w:val="superscript"/>
        </w:rPr>
        <w:t xml:space="preserve"> </w:t>
      </w:r>
      <w:r w:rsidR="003A5102">
        <w:rPr>
          <w:vertAlign w:val="superscript"/>
        </w:rPr>
        <w:t>48</w:t>
      </w:r>
    </w:p>
    <w:p w:rsidR="00D347DD" w:rsidRDefault="00D84A69" w:rsidP="00D347DD">
      <w:pPr>
        <w:spacing w:line="480" w:lineRule="auto"/>
      </w:pPr>
      <w:r w:rsidRPr="003B3DBA">
        <w:t>En nuestro estudio</w:t>
      </w:r>
      <w:r>
        <w:t xml:space="preserve"> se evaluó el comportamiento de la variabl</w:t>
      </w:r>
      <w:r w:rsidR="003B3DBA">
        <w:t xml:space="preserve">e caída de la FEVI </w:t>
      </w:r>
      <w:proofErr w:type="spellStart"/>
      <w:r w:rsidR="003B3DBA">
        <w:t>postestrés</w:t>
      </w:r>
      <w:proofErr w:type="spellEnd"/>
      <w:r>
        <w:t xml:space="preserve"> como expresión del atur</w:t>
      </w:r>
      <w:r w:rsidR="00801D85">
        <w:t xml:space="preserve">dimiento miocárdico </w:t>
      </w:r>
      <w:r>
        <w:t>y reflejo de la severidad de la isquemia miocárdica. Esta variable es considerada en varios artículos como un predictor de eventos isquémicos futuros. En el grupo de los pacientes que</w:t>
      </w:r>
      <w:r w:rsidR="00801D85">
        <w:t xml:space="preserve"> no hubo caída de la FEVI </w:t>
      </w:r>
      <w:proofErr w:type="spellStart"/>
      <w:r w:rsidR="00801D85">
        <w:t>post</w:t>
      </w:r>
      <w:r>
        <w:t>estrés</w:t>
      </w:r>
      <w:proofErr w:type="spellEnd"/>
      <w:r>
        <w:t xml:space="preserve"> el mayor porciento no presentaron eventos </w:t>
      </w:r>
      <w:r w:rsidR="00C773C5">
        <w:t>isq</w:t>
      </w:r>
      <w:r w:rsidR="00801D85">
        <w:t>uémicos en el año de evolución, coincidiendo con lo publicado en la literatura revisada.</w:t>
      </w:r>
    </w:p>
    <w:p w:rsidR="00C773C5" w:rsidRDefault="00C773C5" w:rsidP="00D347DD">
      <w:pPr>
        <w:spacing w:line="480" w:lineRule="auto"/>
      </w:pPr>
      <w:r>
        <w:t>En</w:t>
      </w:r>
      <w:r w:rsidR="00801D85">
        <w:t xml:space="preserve"> cambio, en los restantes</w:t>
      </w:r>
      <w:r>
        <w:t xml:space="preserve"> grupo</w:t>
      </w:r>
      <w:r w:rsidR="00801D85">
        <w:t xml:space="preserve">s donde hubo </w:t>
      </w:r>
      <w:r>
        <w:t xml:space="preserve">caída de la FEVI </w:t>
      </w:r>
      <w:proofErr w:type="spellStart"/>
      <w:r w:rsidR="00801D85">
        <w:t>postestrés</w:t>
      </w:r>
      <w:proofErr w:type="spellEnd"/>
      <w:r w:rsidR="00801D85">
        <w:t xml:space="preserve"> predominaron</w:t>
      </w:r>
      <w:r>
        <w:t xml:space="preserve"> las revascularizaciones y los </w:t>
      </w:r>
      <w:r w:rsidR="00801D85">
        <w:t>síndromes coronarios. En el grupo con caída mayor del 10 % de</w:t>
      </w:r>
      <w:r>
        <w:t xml:space="preserve"> la función sist</w:t>
      </w:r>
      <w:r w:rsidR="00801D85">
        <w:t xml:space="preserve">ólica del ventrículo izquierdo con </w:t>
      </w:r>
      <w:r w:rsidR="00183538">
        <w:t>alto porcentaje</w:t>
      </w:r>
      <w:r>
        <w:t xml:space="preserve"> de aturdimiento miocárdico e isquemia miocárdica todos presentaron eventos coronarios agudo</w:t>
      </w:r>
      <w:r w:rsidR="00FE773B">
        <w:t>s y requirieron revascularizació</w:t>
      </w:r>
      <w:r>
        <w:t>n.</w:t>
      </w:r>
      <w:r w:rsidR="00801D85">
        <w:t xml:space="preserve"> Este comportamiento tuvo resultados similares a los planteados por diferentes autores que han investigado en las variables de los estudios de perfusión miocárdica que se han comportado como predictores de eventos futuros.</w:t>
      </w:r>
    </w:p>
    <w:p w:rsidR="00D347DD" w:rsidRDefault="00D347DD" w:rsidP="00D347DD">
      <w:pPr>
        <w:spacing w:line="480" w:lineRule="auto"/>
      </w:pPr>
    </w:p>
    <w:p w:rsidR="003468D9" w:rsidRPr="00740BE6" w:rsidRDefault="003468D9" w:rsidP="00FB20F2">
      <w:pPr>
        <w:spacing w:line="480" w:lineRule="auto"/>
      </w:pPr>
    </w:p>
    <w:p w:rsidR="00A27293" w:rsidRPr="00740BE6" w:rsidRDefault="00A27293" w:rsidP="00A27293">
      <w:pPr>
        <w:spacing w:line="480" w:lineRule="auto"/>
      </w:pPr>
    </w:p>
    <w:p w:rsidR="00F00202" w:rsidRDefault="00F00202" w:rsidP="00B50180">
      <w:pPr>
        <w:spacing w:line="480" w:lineRule="auto"/>
      </w:pPr>
    </w:p>
    <w:p w:rsidR="00F00202" w:rsidRPr="00740BE6" w:rsidRDefault="00D347DD" w:rsidP="00F00202">
      <w:pPr>
        <w:spacing w:line="480" w:lineRule="auto"/>
      </w:pPr>
      <w:r>
        <w:t xml:space="preserve"> </w:t>
      </w:r>
    </w:p>
    <w:p w:rsidR="00597E93" w:rsidRPr="00F471EF" w:rsidRDefault="00473971" w:rsidP="005230DB">
      <w:pPr>
        <w:pStyle w:val="Ttulo1"/>
        <w:spacing w:line="480" w:lineRule="auto"/>
      </w:pPr>
      <w:r w:rsidRPr="00B50180">
        <w:br w:type="page"/>
      </w:r>
      <w:bookmarkStart w:id="55" w:name="_Toc518382553"/>
      <w:r w:rsidR="004D5F83" w:rsidRPr="00F471EF">
        <w:lastRenderedPageBreak/>
        <w:t>CONCLUSIONES</w:t>
      </w:r>
      <w:bookmarkEnd w:id="55"/>
    </w:p>
    <w:p w:rsidR="000F2502" w:rsidRPr="006C1E55" w:rsidRDefault="000F2502" w:rsidP="000F2502">
      <w:pPr>
        <w:spacing w:line="480" w:lineRule="auto"/>
      </w:pPr>
      <w:r>
        <w:t>L</w:t>
      </w:r>
      <w:r w:rsidR="005711F0" w:rsidRPr="000F2502">
        <w:t>a gammagrafía de perfusión miocárdica es una técnica no invasiva certera en el diagnóstico de la cardiopatía isquémica.</w:t>
      </w:r>
      <w:r>
        <w:t xml:space="preserve"> Tuvo un alto valor pronóstico de predecir eventos isquémicos al año de la perfusión miocárdica con relación al resultado de la perfusión miocárdica. La caída de la FEVI </w:t>
      </w:r>
      <w:proofErr w:type="spellStart"/>
      <w:r>
        <w:t>post</w:t>
      </w:r>
      <w:r w:rsidRPr="000F2502">
        <w:t>estrés</w:t>
      </w:r>
      <w:proofErr w:type="spellEnd"/>
      <w:r w:rsidRPr="000F2502">
        <w:t xml:space="preserve"> se comportó como una variable predictiva de realizar futuros eventos cardiacos.</w:t>
      </w:r>
      <w:r>
        <w:t xml:space="preserve"> </w:t>
      </w:r>
      <w:r w:rsidRPr="00740BE6">
        <w:t xml:space="preserve"> </w:t>
      </w:r>
      <w:r>
        <w:t xml:space="preserve">  </w:t>
      </w:r>
      <w:r w:rsidRPr="00740BE6">
        <w:t xml:space="preserve"> </w:t>
      </w:r>
      <w:r>
        <w:t xml:space="preserve"> </w:t>
      </w:r>
    </w:p>
    <w:p w:rsidR="000F2502" w:rsidRDefault="000F2502" w:rsidP="000F2502">
      <w:pPr>
        <w:spacing w:line="480" w:lineRule="auto"/>
      </w:pPr>
    </w:p>
    <w:p w:rsidR="005711F0" w:rsidRPr="006C1E55" w:rsidRDefault="000F2502" w:rsidP="005711F0">
      <w:pPr>
        <w:spacing w:line="480" w:lineRule="auto"/>
      </w:pPr>
      <w:r>
        <w:t xml:space="preserve"> </w:t>
      </w:r>
    </w:p>
    <w:p w:rsidR="00597E93" w:rsidRPr="00740BE6" w:rsidRDefault="00D335CF" w:rsidP="00A0721C">
      <w:pPr>
        <w:pStyle w:val="Textoindependiente"/>
        <w:spacing w:line="480" w:lineRule="auto"/>
      </w:pPr>
      <w:r>
        <w:t xml:space="preserve"> </w:t>
      </w:r>
    </w:p>
    <w:p w:rsidR="00290D7E" w:rsidRPr="00740BE6" w:rsidRDefault="00473971" w:rsidP="00A0721C">
      <w:pPr>
        <w:pStyle w:val="Ttulo1"/>
        <w:spacing w:line="480" w:lineRule="auto"/>
      </w:pPr>
      <w:r w:rsidRPr="00740BE6">
        <w:br w:type="page"/>
      </w:r>
      <w:bookmarkStart w:id="56" w:name="_Toc518382554"/>
      <w:r w:rsidR="004D5F83" w:rsidRPr="00740BE6">
        <w:lastRenderedPageBreak/>
        <w:t>RECOMENDACIONE</w:t>
      </w:r>
      <w:bookmarkEnd w:id="56"/>
      <w:r w:rsidR="00A0721C">
        <w:t>S</w:t>
      </w:r>
    </w:p>
    <w:p w:rsidR="00353A4F" w:rsidRPr="003032FD" w:rsidRDefault="003032FD" w:rsidP="00A0721C">
      <w:pPr>
        <w:pStyle w:val="Textoindependiente"/>
        <w:spacing w:line="480" w:lineRule="auto"/>
      </w:pPr>
      <w:r>
        <w:t>Recomendamos l</w:t>
      </w:r>
      <w:r w:rsidRPr="00AE477F">
        <w:t>a búsqueda por parte de las instituciones de nuevos softwares de análisis de las imágenes adquiridas en los diferentes protocolos, aportándonos información de variables que ayudan al pronóstico de los pacientes. Sus resultados podrán estratificar el riesgo de tener eventos duros en una mayor cantidad de pacientes y tomar estrategias de revascularización en los pacientes que tendrán mayor beneficio en cuanto a su supervivencia.</w:t>
      </w:r>
    </w:p>
    <w:p w:rsidR="00597E93" w:rsidRPr="00740BE6" w:rsidRDefault="00F47792" w:rsidP="00F471EF">
      <w:pPr>
        <w:pStyle w:val="Ttulo1"/>
        <w:spacing w:line="480" w:lineRule="auto"/>
      </w:pPr>
      <w:r w:rsidRPr="00F471EF">
        <w:rPr>
          <w:bCs/>
          <w:iCs/>
        </w:rPr>
        <w:br w:type="page"/>
      </w:r>
      <w:bookmarkStart w:id="57" w:name="_Toc518382555"/>
      <w:r w:rsidR="008E6666" w:rsidRPr="00740BE6">
        <w:lastRenderedPageBreak/>
        <w:t xml:space="preserve">REFERENCIAS </w:t>
      </w:r>
      <w:r w:rsidR="004D5F83" w:rsidRPr="00740BE6">
        <w:t>BIBLIOGR</w:t>
      </w:r>
      <w:r w:rsidR="008E6666" w:rsidRPr="00740BE6">
        <w:t>ÁFICAS</w:t>
      </w:r>
      <w:bookmarkEnd w:id="57"/>
    </w:p>
    <w:p w:rsidR="003D37F6" w:rsidRPr="00AE477F" w:rsidRDefault="003D37F6" w:rsidP="003D37F6">
      <w:pPr>
        <w:spacing w:line="480" w:lineRule="auto"/>
      </w:pPr>
      <w:r>
        <w:t xml:space="preserve"> </w:t>
      </w:r>
      <w:r w:rsidRPr="00AE477F">
        <w:t>1.  Ferreira-</w:t>
      </w:r>
      <w:proofErr w:type="spellStart"/>
      <w:r w:rsidRPr="00AE477F">
        <w:t>Gonzalez</w:t>
      </w:r>
      <w:proofErr w:type="spellEnd"/>
      <w:r w:rsidRPr="00AE477F">
        <w:t xml:space="preserve"> I. Epidemiología de la enfermedad coronaria.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2014 Feb [citado 9 Jul 2019]; 67(2):139-44. Disponible en: </w:t>
      </w:r>
      <w:hyperlink r:id="rId12" w:history="1">
        <w:r w:rsidRPr="00AE477F">
          <w:rPr>
            <w:rStyle w:val="Hipervnculo"/>
            <w:lang w:val="pt-PT"/>
          </w:rPr>
          <w:t>https://www.sciencedirect.com/science/article/pii/S0300893213004855</w:t>
        </w:r>
      </w:hyperlink>
      <w:r w:rsidRPr="00AE477F">
        <w:rPr>
          <w:lang w:val="pt-PT"/>
        </w:rPr>
        <w:t xml:space="preserve">. </w:t>
      </w:r>
    </w:p>
    <w:p w:rsidR="003D37F6" w:rsidRPr="00AE477F" w:rsidRDefault="003D37F6" w:rsidP="003D37F6">
      <w:pPr>
        <w:spacing w:line="360" w:lineRule="auto"/>
      </w:pPr>
      <w:r w:rsidRPr="00AE477F">
        <w:t xml:space="preserve">2. Cuba. Centro Nacional de Información de Ciencias Médicas. Biblioteca Médica Nacional. Cardiopatía isquémica. Estadísticas Mundiales. </w:t>
      </w:r>
      <w:proofErr w:type="spellStart"/>
      <w:r w:rsidRPr="00AE477F">
        <w:t>Factográfico</w:t>
      </w:r>
      <w:proofErr w:type="spellEnd"/>
      <w:r w:rsidRPr="00AE477F">
        <w:t xml:space="preserve"> salud [Internet]. 2019 Feb [citado 9 Jul 2019]; 5(2):[aprox. 11 p.]. Disponible en: </w:t>
      </w:r>
      <w:hyperlink r:id="rId13" w:history="1">
        <w:r w:rsidRPr="00AE477F">
          <w:rPr>
            <w:rStyle w:val="Hipervnculo"/>
          </w:rPr>
          <w:t>http://files.sld.cu/bmn/files/2019/02/factografico-de-salud-febrero-2019</w:t>
        </w:r>
      </w:hyperlink>
      <w:r w:rsidR="001C28E8">
        <w:rPr>
          <w:rStyle w:val="Hipervnculo"/>
        </w:rPr>
        <w:t>.pdf</w:t>
      </w:r>
      <w:r w:rsidR="001C28E8">
        <w:t>.</w:t>
      </w:r>
    </w:p>
    <w:p w:rsidR="003D37F6" w:rsidRPr="00AE477F" w:rsidRDefault="003D37F6" w:rsidP="003D37F6">
      <w:pPr>
        <w:spacing w:before="240" w:after="120" w:line="360" w:lineRule="auto"/>
      </w:pPr>
      <w:r w:rsidRPr="00AE477F">
        <w:t>3. Cadavid L, García C</w:t>
      </w:r>
      <w:r>
        <w:t>,</w:t>
      </w:r>
      <w:r w:rsidRPr="00AE477F">
        <w:t xml:space="preserve"> et al. Resultados de SPECT miocárdico y eventos cardiovasculares en dos servicios de Medicina nuclear de Bogotá durante 2011 a 2012. </w:t>
      </w:r>
      <w:proofErr w:type="spellStart"/>
      <w:r w:rsidRPr="00AE477F">
        <w:t>Rev</w:t>
      </w:r>
      <w:proofErr w:type="spellEnd"/>
      <w:r w:rsidRPr="00AE477F">
        <w:t xml:space="preserve"> </w:t>
      </w:r>
      <w:proofErr w:type="spellStart"/>
      <w:r w:rsidRPr="00AE477F">
        <w:t>Colomb</w:t>
      </w:r>
      <w:proofErr w:type="spellEnd"/>
      <w:r w:rsidRPr="00AE477F">
        <w:t xml:space="preserve"> </w:t>
      </w:r>
      <w:proofErr w:type="spellStart"/>
      <w:r w:rsidRPr="00AE477F">
        <w:t>Cardiol</w:t>
      </w:r>
      <w:proofErr w:type="spellEnd"/>
      <w:r w:rsidRPr="00AE477F">
        <w:t xml:space="preserve"> [Internet].  2014 </w:t>
      </w:r>
      <w:proofErr w:type="spellStart"/>
      <w:r w:rsidRPr="00AE477F">
        <w:t>Sep</w:t>
      </w:r>
      <w:proofErr w:type="spellEnd"/>
      <w:r w:rsidRPr="00AE477F">
        <w:t xml:space="preserve"> [citado 10 </w:t>
      </w:r>
      <w:proofErr w:type="spellStart"/>
      <w:r w:rsidRPr="00AE477F">
        <w:t>May</w:t>
      </w:r>
      <w:proofErr w:type="spellEnd"/>
      <w:r w:rsidRPr="00AE477F">
        <w:t xml:space="preserve"> 2019];21(2):86-94. Disponible en:  </w:t>
      </w:r>
      <w:hyperlink r:id="rId14" w:history="1">
        <w:r w:rsidRPr="00AE477F">
          <w:rPr>
            <w:rStyle w:val="Hipervnculo"/>
          </w:rPr>
          <w:t>http://www.sciencedirect.com</w:t>
        </w:r>
      </w:hyperlink>
      <w:r w:rsidRPr="00AE477F">
        <w:t xml:space="preserve">. </w:t>
      </w:r>
    </w:p>
    <w:p w:rsidR="003D37F6" w:rsidRPr="00AE477F" w:rsidRDefault="003D37F6" w:rsidP="003D37F6">
      <w:pPr>
        <w:spacing w:line="360" w:lineRule="auto"/>
        <w:rPr>
          <w:lang w:val="es-US"/>
        </w:rPr>
      </w:pPr>
      <w:r w:rsidRPr="00AE477F">
        <w:t>4. Dirección de registros médicos y estadísticos de salud. Anua</w:t>
      </w:r>
      <w:r w:rsidR="000B0F4A">
        <w:t>rio Estadístico de la Salud 2019</w:t>
      </w:r>
      <w:r w:rsidRPr="00AE477F">
        <w:t xml:space="preserve"> [Internet]. La</w:t>
      </w:r>
      <w:r w:rsidR="000B0F4A">
        <w:t xml:space="preserve"> Habana: MINSAP; 2019 [citado 10 Jul 2019]. 27-73</w:t>
      </w:r>
      <w:r w:rsidRPr="00AE477F">
        <w:t xml:space="preserve"> p. Disponible en: </w:t>
      </w:r>
      <w:hyperlink r:id="rId15" w:history="1">
        <w:r w:rsidR="00806E59" w:rsidRPr="00D97491">
          <w:rPr>
            <w:rStyle w:val="Hipervnculo"/>
          </w:rPr>
          <w:t>https://files.sld.cu/bvscuba/files/2020/05/Anuario-Electrónico-Español-2019-ed-2020.pdf</w:t>
        </w:r>
      </w:hyperlink>
      <w:r w:rsidR="00806E59">
        <w:t xml:space="preserve">. </w:t>
      </w:r>
    </w:p>
    <w:p w:rsidR="003D37F6" w:rsidRPr="00AE477F" w:rsidRDefault="003D37F6" w:rsidP="003D37F6">
      <w:pPr>
        <w:spacing w:before="120" w:after="120" w:line="360" w:lineRule="auto"/>
      </w:pPr>
      <w:r w:rsidRPr="00AE477F">
        <w:t xml:space="preserve">5.  </w:t>
      </w:r>
      <w:proofErr w:type="spellStart"/>
      <w:r w:rsidRPr="00AE477F">
        <w:rPr>
          <w:color w:val="000000" w:themeColor="text1"/>
        </w:rPr>
        <w:t>Casáns-Tormoa</w:t>
      </w:r>
      <w:proofErr w:type="spellEnd"/>
      <w:r w:rsidRPr="00AE477F">
        <w:rPr>
          <w:color w:val="000000" w:themeColor="text1"/>
        </w:rPr>
        <w:t xml:space="preserve"> I</w:t>
      </w:r>
      <w:r w:rsidRPr="00AE477F">
        <w:t>, Jurado</w:t>
      </w:r>
      <w:r w:rsidRPr="00AE477F">
        <w:rPr>
          <w:color w:val="000000" w:themeColor="text1"/>
        </w:rPr>
        <w:t>-López JA</w:t>
      </w:r>
      <w:r w:rsidRPr="00AE477F">
        <w:t xml:space="preserve">.  </w:t>
      </w:r>
      <w:r w:rsidRPr="00AE477F">
        <w:rPr>
          <w:bCs/>
          <w:color w:val="000000" w:themeColor="text1"/>
        </w:rPr>
        <w:t xml:space="preserve">Diagnóstico de la enfermedad coronaria mediante </w:t>
      </w:r>
      <w:proofErr w:type="spellStart"/>
      <w:r w:rsidRPr="00AE477F">
        <w:rPr>
          <w:bCs/>
          <w:color w:val="000000" w:themeColor="text1"/>
        </w:rPr>
        <w:t>gated</w:t>
      </w:r>
      <w:proofErr w:type="spellEnd"/>
      <w:r w:rsidRPr="00AE477F">
        <w:rPr>
          <w:bCs/>
          <w:color w:val="000000" w:themeColor="text1"/>
        </w:rPr>
        <w:t>-SPECT de perfusión miocárdica</w:t>
      </w:r>
      <w:r w:rsidRPr="00AE477F">
        <w:t xml:space="preserve">.  [Internet].  2008 Feb  [citado 10 Jul 2019];8(B):15b-24b. Disponible en: </w:t>
      </w:r>
      <w:hyperlink r:id="rId16" w:history="1">
        <w:r w:rsidRPr="00AE477F">
          <w:rPr>
            <w:rStyle w:val="Hipervnculo"/>
          </w:rPr>
          <w:t>https://www.revespcardiol.org</w:t>
        </w:r>
      </w:hyperlink>
      <w:r w:rsidRPr="00AE477F">
        <w:t>.</w:t>
      </w:r>
    </w:p>
    <w:p w:rsidR="003D37F6" w:rsidRPr="00AE477F" w:rsidRDefault="003D37F6" w:rsidP="003D37F6">
      <w:pPr>
        <w:spacing w:line="360" w:lineRule="auto"/>
        <w:rPr>
          <w:rStyle w:val="Hipervnculo"/>
        </w:rPr>
      </w:pPr>
      <w:r w:rsidRPr="00AE477F">
        <w:t xml:space="preserve">6. González P, </w:t>
      </w:r>
      <w:proofErr w:type="spellStart"/>
      <w:r w:rsidRPr="00AE477F">
        <w:t>Dussaillant</w:t>
      </w:r>
      <w:proofErr w:type="spellEnd"/>
      <w:r w:rsidRPr="00AE477F">
        <w:t xml:space="preserve"> G, Gutiérrez D, Berrocal I, </w:t>
      </w:r>
      <w:proofErr w:type="spellStart"/>
      <w:r w:rsidRPr="00AE477F">
        <w:t>Alay</w:t>
      </w:r>
      <w:proofErr w:type="spellEnd"/>
      <w:r w:rsidRPr="00AE477F">
        <w:t xml:space="preserve"> R, Otárola S.</w:t>
      </w:r>
      <w:r w:rsidRPr="00AE477F">
        <w:rPr>
          <w:color w:val="000000"/>
        </w:rPr>
        <w:t xml:space="preserve"> Perfusión y función ventricular en SPECT cardiaco y </w:t>
      </w:r>
      <w:proofErr w:type="spellStart"/>
      <w:r w:rsidRPr="00AE477F">
        <w:rPr>
          <w:color w:val="000000"/>
        </w:rPr>
        <w:t>coronariografía</w:t>
      </w:r>
      <w:proofErr w:type="spellEnd"/>
      <w:r w:rsidRPr="00AE477F">
        <w:rPr>
          <w:color w:val="000000"/>
        </w:rPr>
        <w:t xml:space="preserve"> del mismo día según localización en enfermedad de un vaso</w:t>
      </w:r>
      <w:r w:rsidRPr="00AE477F">
        <w:t xml:space="preserve">. </w:t>
      </w:r>
      <w:proofErr w:type="spellStart"/>
      <w:r w:rsidRPr="00AE477F">
        <w:t>Rev</w:t>
      </w:r>
      <w:proofErr w:type="spellEnd"/>
      <w:r w:rsidRPr="00AE477F">
        <w:t xml:space="preserve"> </w:t>
      </w:r>
      <w:proofErr w:type="spellStart"/>
      <w:r w:rsidRPr="00AE477F">
        <w:t>Med</w:t>
      </w:r>
      <w:proofErr w:type="spellEnd"/>
      <w:r w:rsidRPr="00AE477F">
        <w:t xml:space="preserve"> Chile. [Internet].  2013 Jun [citado 10 Jul 2019];141(9):1136-42. Disponible en: </w:t>
      </w:r>
      <w:hyperlink r:id="rId17" w:history="1">
        <w:r w:rsidRPr="00AE477F">
          <w:rPr>
            <w:rStyle w:val="Hipervnculo"/>
          </w:rPr>
          <w:t>http://www.scielo.conicyt.cl</w:t>
        </w:r>
      </w:hyperlink>
    </w:p>
    <w:p w:rsidR="003D37F6" w:rsidRPr="00AE477F" w:rsidRDefault="003D37F6" w:rsidP="003D37F6">
      <w:pPr>
        <w:autoSpaceDE w:val="0"/>
        <w:autoSpaceDN w:val="0"/>
        <w:adjustRightInd w:val="0"/>
        <w:spacing w:line="360" w:lineRule="auto"/>
      </w:pPr>
      <w:r w:rsidRPr="00AE477F">
        <w:t xml:space="preserve">7.  </w:t>
      </w:r>
      <w:proofErr w:type="spellStart"/>
      <w:r w:rsidRPr="00AE477F">
        <w:t>Camilletti</w:t>
      </w:r>
      <w:proofErr w:type="spellEnd"/>
      <w:r w:rsidRPr="00AE477F">
        <w:t xml:space="preserve"> J, </w:t>
      </w:r>
      <w:proofErr w:type="spellStart"/>
      <w:r w:rsidRPr="00AE477F">
        <w:t>Erriest</w:t>
      </w:r>
      <w:proofErr w:type="spellEnd"/>
      <w:r w:rsidRPr="00AE477F">
        <w:t xml:space="preserve"> J.  </w:t>
      </w:r>
      <w:r w:rsidRPr="00AE477F">
        <w:rPr>
          <w:bCs/>
        </w:rPr>
        <w:t xml:space="preserve">Los estudios de perfusión miocárdica SPECT Gatillado como herramienta </w:t>
      </w:r>
      <w:proofErr w:type="spellStart"/>
      <w:r w:rsidRPr="00AE477F">
        <w:rPr>
          <w:bCs/>
        </w:rPr>
        <w:t>pronóstica</w:t>
      </w:r>
      <w:proofErr w:type="spellEnd"/>
      <w:r w:rsidRPr="00AE477F">
        <w:rPr>
          <w:bCs/>
        </w:rPr>
        <w:t xml:space="preserve"> en la enfermedad coronaria siguen sorprendiendo</w:t>
      </w:r>
      <w:r w:rsidRPr="00AE477F">
        <w:t xml:space="preserve">.  </w:t>
      </w:r>
      <w:proofErr w:type="spellStart"/>
      <w:r w:rsidRPr="00AE477F">
        <w:rPr>
          <w:iCs/>
          <w:color w:val="414142"/>
        </w:rPr>
        <w:t>Rev</w:t>
      </w:r>
      <w:proofErr w:type="spellEnd"/>
      <w:r w:rsidRPr="00AE477F">
        <w:rPr>
          <w:iCs/>
          <w:color w:val="414142"/>
        </w:rPr>
        <w:t xml:space="preserve"> </w:t>
      </w:r>
      <w:proofErr w:type="spellStart"/>
      <w:r w:rsidRPr="00AE477F">
        <w:rPr>
          <w:iCs/>
          <w:color w:val="414142"/>
        </w:rPr>
        <w:t>Fed</w:t>
      </w:r>
      <w:proofErr w:type="spellEnd"/>
      <w:r w:rsidRPr="00AE477F">
        <w:rPr>
          <w:iCs/>
          <w:color w:val="414142"/>
        </w:rPr>
        <w:t xml:space="preserve"> </w:t>
      </w:r>
      <w:proofErr w:type="spellStart"/>
      <w:r w:rsidRPr="00AE477F">
        <w:rPr>
          <w:iCs/>
          <w:color w:val="414142"/>
        </w:rPr>
        <w:t>Arg</w:t>
      </w:r>
      <w:proofErr w:type="spellEnd"/>
      <w:r w:rsidRPr="00AE477F">
        <w:rPr>
          <w:iCs/>
          <w:color w:val="414142"/>
        </w:rPr>
        <w:t xml:space="preserve"> </w:t>
      </w:r>
      <w:proofErr w:type="spellStart"/>
      <w:r w:rsidRPr="00AE477F">
        <w:rPr>
          <w:iCs/>
          <w:color w:val="414142"/>
        </w:rPr>
        <w:t>Cardiol</w:t>
      </w:r>
      <w:proofErr w:type="spellEnd"/>
      <w:r w:rsidRPr="00AE477F">
        <w:t xml:space="preserve"> [Internet].  2015 Ene-Mar [citado 12 Jul 2019];44(1):4-6. Disponible en: </w:t>
      </w:r>
      <w:hyperlink r:id="rId18" w:history="1">
        <w:r w:rsidRPr="00AE477F">
          <w:rPr>
            <w:rStyle w:val="Hipervnculo"/>
          </w:rPr>
          <w:t>https://www.fac.org.ar</w:t>
        </w:r>
      </w:hyperlink>
      <w:r w:rsidRPr="00AE477F">
        <w:t>.</w:t>
      </w:r>
    </w:p>
    <w:p w:rsidR="003D37F6" w:rsidRPr="00AE477F" w:rsidRDefault="003D37F6" w:rsidP="003D37F6">
      <w:pPr>
        <w:spacing w:before="120" w:after="120" w:line="360" w:lineRule="auto"/>
        <w:rPr>
          <w:lang w:val="en-US"/>
        </w:rPr>
      </w:pPr>
      <w:r w:rsidRPr="00AE477F">
        <w:lastRenderedPageBreak/>
        <w:t xml:space="preserve">8. </w:t>
      </w:r>
      <w:proofErr w:type="spellStart"/>
      <w:r w:rsidRPr="00AE477F">
        <w:t>Massardo</w:t>
      </w:r>
      <w:proofErr w:type="spellEnd"/>
      <w:r w:rsidRPr="00AE477F">
        <w:t xml:space="preserve"> T, Berrocal I. </w:t>
      </w:r>
      <w:r w:rsidRPr="00AE477F">
        <w:rPr>
          <w:lang w:eastAsia="es-ES"/>
        </w:rPr>
        <w:t>Cardiología Nuclear: Actualización en diagnóstico y evaluación de enfermedad coronaria</w:t>
      </w:r>
      <w:r w:rsidRPr="00AE477F">
        <w:t xml:space="preserve">. </w:t>
      </w:r>
      <w:proofErr w:type="spellStart"/>
      <w:r w:rsidRPr="00AE477F">
        <w:rPr>
          <w:lang w:val="en-US"/>
        </w:rPr>
        <w:t>Alasbimn</w:t>
      </w:r>
      <w:proofErr w:type="spellEnd"/>
      <w:r w:rsidRPr="00AE477F">
        <w:rPr>
          <w:lang w:val="en-US"/>
        </w:rPr>
        <w:t xml:space="preserve"> Journal [Internet].  2011 Oct  [</w:t>
      </w:r>
      <w:proofErr w:type="spellStart"/>
      <w:r w:rsidRPr="00AE477F">
        <w:rPr>
          <w:lang w:val="en-US"/>
        </w:rPr>
        <w:t>citado</w:t>
      </w:r>
      <w:proofErr w:type="spellEnd"/>
      <w:r w:rsidRPr="00AE477F">
        <w:rPr>
          <w:lang w:val="en-US"/>
        </w:rPr>
        <w:t xml:space="preserve"> 6 </w:t>
      </w:r>
      <w:proofErr w:type="spellStart"/>
      <w:r w:rsidRPr="00AE477F">
        <w:rPr>
          <w:lang w:val="en-US"/>
        </w:rPr>
        <w:t>Abr</w:t>
      </w:r>
      <w:proofErr w:type="spellEnd"/>
      <w:r w:rsidRPr="00AE477F">
        <w:rPr>
          <w:lang w:val="en-US"/>
        </w:rPr>
        <w:t xml:space="preserve"> 2019];29(2):250-62. </w:t>
      </w:r>
      <w:proofErr w:type="spellStart"/>
      <w:r w:rsidRPr="00AE477F">
        <w:rPr>
          <w:lang w:val="en-US"/>
        </w:rPr>
        <w:t>Disponible</w:t>
      </w:r>
      <w:proofErr w:type="spellEnd"/>
      <w:r w:rsidRPr="00AE477F">
        <w:rPr>
          <w:lang w:val="en-US"/>
        </w:rPr>
        <w:t xml:space="preserve"> </w:t>
      </w:r>
      <w:proofErr w:type="spellStart"/>
      <w:r w:rsidRPr="00AE477F">
        <w:rPr>
          <w:lang w:val="en-US"/>
        </w:rPr>
        <w:t>en</w:t>
      </w:r>
      <w:proofErr w:type="spellEnd"/>
      <w:r w:rsidRPr="00AE477F">
        <w:rPr>
          <w:lang w:val="en-US"/>
        </w:rPr>
        <w:t xml:space="preserve">:  </w:t>
      </w:r>
      <w:hyperlink r:id="rId19" w:history="1">
        <w:r w:rsidRPr="00AE477F">
          <w:rPr>
            <w:rStyle w:val="Hipervnculo"/>
            <w:lang w:val="en-US"/>
          </w:rPr>
          <w:t>http://www.alasbimnjournal.net/a/24.ISSN:0717-4055</w:t>
        </w:r>
      </w:hyperlink>
      <w:r w:rsidRPr="00AE477F">
        <w:rPr>
          <w:lang w:val="en-US"/>
        </w:rPr>
        <w:t>.</w:t>
      </w:r>
    </w:p>
    <w:p w:rsidR="003D37F6" w:rsidRPr="00AE477F" w:rsidRDefault="003D37F6" w:rsidP="003D37F6">
      <w:pPr>
        <w:spacing w:before="120" w:after="120" w:line="360" w:lineRule="auto"/>
      </w:pPr>
      <w:r w:rsidRPr="00AE477F">
        <w:rPr>
          <w:lang w:val="en-US"/>
        </w:rPr>
        <w:t xml:space="preserve">9. Hussain N, Parker MW, </w:t>
      </w:r>
      <w:proofErr w:type="spellStart"/>
      <w:r w:rsidRPr="00AE477F">
        <w:rPr>
          <w:lang w:val="en-US"/>
        </w:rPr>
        <w:t>Henzlova</w:t>
      </w:r>
      <w:proofErr w:type="spellEnd"/>
      <w:r w:rsidRPr="00AE477F">
        <w:rPr>
          <w:lang w:val="en-US"/>
        </w:rPr>
        <w:t xml:space="preserve"> MJ, Lane-Duvall W. Stress-first myocardial perfusion imaging. </w:t>
      </w:r>
      <w:proofErr w:type="spellStart"/>
      <w:r w:rsidRPr="00AE477F">
        <w:t>Cardiol</w:t>
      </w:r>
      <w:proofErr w:type="spellEnd"/>
      <w:r w:rsidRPr="00AE477F">
        <w:t xml:space="preserve"> </w:t>
      </w:r>
      <w:proofErr w:type="spellStart"/>
      <w:r w:rsidRPr="00AE477F">
        <w:t>Clin</w:t>
      </w:r>
      <w:proofErr w:type="spellEnd"/>
      <w:r w:rsidRPr="00AE477F">
        <w:t xml:space="preserve"> [Internet].  2016 Feb [citado 11 Jul 2019];34(1):59-67. Disponible en:  </w:t>
      </w:r>
      <w:hyperlink r:id="rId20" w:history="1">
        <w:r w:rsidRPr="00AE477F">
          <w:rPr>
            <w:rStyle w:val="Hipervnculo"/>
          </w:rPr>
          <w:t>https://www.ncbi.nih.gou</w:t>
        </w:r>
      </w:hyperlink>
      <w:r w:rsidRPr="00AE477F">
        <w:t>.</w:t>
      </w:r>
    </w:p>
    <w:p w:rsidR="003D37F6" w:rsidRPr="00AE477F" w:rsidRDefault="003D37F6" w:rsidP="003D37F6">
      <w:pPr>
        <w:spacing w:before="240" w:line="360" w:lineRule="auto"/>
      </w:pPr>
      <w:r>
        <w:t>10. De León</w:t>
      </w:r>
      <w:r w:rsidRPr="00AE477F">
        <w:t xml:space="preserve"> G, </w:t>
      </w:r>
      <w:r>
        <w:rPr>
          <w:lang w:eastAsia="es-ES"/>
        </w:rPr>
        <w:t>Aguadé-</w:t>
      </w:r>
      <w:proofErr w:type="spellStart"/>
      <w:r>
        <w:rPr>
          <w:lang w:eastAsia="es-ES"/>
        </w:rPr>
        <w:t>Bruix</w:t>
      </w:r>
      <w:proofErr w:type="spellEnd"/>
      <w:r w:rsidRPr="00AE477F">
        <w:rPr>
          <w:lang w:eastAsia="es-ES"/>
        </w:rPr>
        <w:t xml:space="preserve"> S</w:t>
      </w:r>
      <w:r w:rsidRPr="00AE477F">
        <w:t xml:space="preserve">. </w:t>
      </w:r>
      <w:r w:rsidRPr="00AE477F">
        <w:rPr>
          <w:bCs/>
          <w:lang w:eastAsia="es-ES"/>
        </w:rPr>
        <w:t>Recomendaciones sobre las maniobras de provocación de isquemia, protocolos de adquisición, interpretación de las imágenes y elaboración de los informes</w:t>
      </w:r>
      <w:r w:rsidRPr="00AE477F">
        <w:t xml:space="preserve">. </w:t>
      </w:r>
      <w:proofErr w:type="spellStart"/>
      <w:r w:rsidRPr="00AE477F">
        <w:rPr>
          <w:lang w:eastAsia="es-ES"/>
        </w:rPr>
        <w:t>Rev</w:t>
      </w:r>
      <w:proofErr w:type="spellEnd"/>
      <w:r w:rsidRPr="00AE477F">
        <w:rPr>
          <w:lang w:eastAsia="es-ES"/>
        </w:rPr>
        <w:t xml:space="preserve"> </w:t>
      </w:r>
      <w:proofErr w:type="spellStart"/>
      <w:r w:rsidRPr="00AE477F">
        <w:rPr>
          <w:lang w:eastAsia="es-ES"/>
        </w:rPr>
        <w:t>Esp</w:t>
      </w:r>
      <w:proofErr w:type="spellEnd"/>
      <w:r w:rsidRPr="00AE477F">
        <w:rPr>
          <w:lang w:eastAsia="es-ES"/>
        </w:rPr>
        <w:t xml:space="preserve"> </w:t>
      </w:r>
      <w:proofErr w:type="spellStart"/>
      <w:r w:rsidRPr="00AE477F">
        <w:rPr>
          <w:lang w:eastAsia="es-ES"/>
        </w:rPr>
        <w:t>Cardiol</w:t>
      </w:r>
      <w:proofErr w:type="spellEnd"/>
      <w:r w:rsidRPr="00AE477F">
        <w:t xml:space="preserve"> [Internet].  2008  [citado 10 Abr 2019];8(2):2B-14B. Disponible en: </w:t>
      </w:r>
      <w:hyperlink r:id="rId21" w:history="1">
        <w:r w:rsidRPr="00AE477F">
          <w:rPr>
            <w:rStyle w:val="Hipervnculo"/>
          </w:rPr>
          <w:t>https://www.sciencedirect.com/science/article/abs/pii/S1131358708735428</w:t>
        </w:r>
      </w:hyperlink>
      <w:r w:rsidRPr="00AE477F">
        <w:rPr>
          <w:rStyle w:val="Hipervnculo"/>
        </w:rPr>
        <w:t xml:space="preserve">. </w:t>
      </w:r>
    </w:p>
    <w:p w:rsidR="003D37F6" w:rsidRPr="00AE477F" w:rsidRDefault="003D37F6" w:rsidP="003D37F6">
      <w:pPr>
        <w:spacing w:before="240" w:line="360" w:lineRule="auto"/>
      </w:pPr>
      <w:r w:rsidRPr="00AE477F">
        <w:t xml:space="preserve">11.  </w:t>
      </w:r>
      <w:proofErr w:type="spellStart"/>
      <w:r w:rsidRPr="00AE477F">
        <w:t>Bialostozky</w:t>
      </w:r>
      <w:proofErr w:type="spellEnd"/>
      <w:r w:rsidRPr="00AE477F">
        <w:t xml:space="preserve"> D, Alcaraz M, Altamirano-Bustamante M, Altamirano N, Altamirano J, Ángel V</w:t>
      </w:r>
      <w:r>
        <w:t>,</w:t>
      </w:r>
      <w:r w:rsidRPr="00AE477F">
        <w:t xml:space="preserve"> et al.  </w:t>
      </w:r>
      <w:proofErr w:type="spellStart"/>
      <w:r w:rsidRPr="00AE477F">
        <w:t>Imagenología</w:t>
      </w:r>
      <w:proofErr w:type="spellEnd"/>
      <w:r w:rsidRPr="00AE477F">
        <w:t xml:space="preserve"> cardiovascular clínica. México: </w:t>
      </w:r>
      <w:proofErr w:type="spellStart"/>
      <w:r w:rsidRPr="00AE477F">
        <w:t>Permanyer</w:t>
      </w:r>
      <w:proofErr w:type="spellEnd"/>
      <w:r w:rsidRPr="00AE477F">
        <w:t>; 2008. 13-162</w:t>
      </w:r>
    </w:p>
    <w:p w:rsidR="003D37F6" w:rsidRPr="00AE477F" w:rsidRDefault="003D37F6" w:rsidP="003D37F6">
      <w:pPr>
        <w:spacing w:before="120" w:after="120" w:line="360" w:lineRule="auto"/>
      </w:pPr>
      <w:r w:rsidRPr="00AE477F">
        <w:t xml:space="preserve">12. Sociedad Andaluza de Medicina Nuclear [Internet]. España: SAMN; c2010. García-Gómez F, Guzmán-Caro G, Moreno-Caballero M. Historia de la Medicina Nuclear; 2010 Ene [actualizado 27 Ene 2010; citado 01 Abr 2019]; [aprox. 4 pantallas]. Disponible en:  </w:t>
      </w:r>
      <w:hyperlink r:id="rId22" w:history="1">
        <w:r w:rsidRPr="00AE477F">
          <w:rPr>
            <w:rStyle w:val="Hipervnculo"/>
          </w:rPr>
          <w:t>https://www.samn.es</w:t>
        </w:r>
      </w:hyperlink>
      <w:r w:rsidRPr="00AE477F">
        <w:t xml:space="preserve">.   </w:t>
      </w:r>
    </w:p>
    <w:p w:rsidR="003D37F6" w:rsidRPr="00AE477F" w:rsidRDefault="003D37F6" w:rsidP="003D37F6">
      <w:pPr>
        <w:spacing w:before="240" w:line="360" w:lineRule="auto"/>
      </w:pPr>
      <w:r w:rsidRPr="00AE477F">
        <w:t xml:space="preserve">13.  Sociedad Española de Medicina Nuclear e Imagen Molecular [Internet]. España: SEMNIM; c2015 [actualizado 16Mar2015; citado 4 Feb 2019]. Disponible en: </w:t>
      </w:r>
      <w:hyperlink r:id="rId23" w:history="1">
        <w:r w:rsidRPr="00AE477F">
          <w:rPr>
            <w:rStyle w:val="Hipervnculo"/>
          </w:rPr>
          <w:t>https://www.semnim.es</w:t>
        </w:r>
      </w:hyperlink>
      <w:r w:rsidRPr="00AE477F">
        <w:rPr>
          <w:u w:val="single"/>
        </w:rPr>
        <w:t>›pages›historia›medicina›nuclear.</w:t>
      </w:r>
    </w:p>
    <w:p w:rsidR="003D37F6" w:rsidRPr="00AE477F" w:rsidRDefault="003D37F6" w:rsidP="003D37F6">
      <w:pPr>
        <w:spacing w:before="240" w:line="360" w:lineRule="auto"/>
      </w:pPr>
      <w:r w:rsidRPr="00AE477F">
        <w:t xml:space="preserve">14.  </w:t>
      </w:r>
      <w:proofErr w:type="spellStart"/>
      <w:r w:rsidRPr="00AE477F">
        <w:t>Jaimovich</w:t>
      </w:r>
      <w:proofErr w:type="spellEnd"/>
      <w:r w:rsidRPr="00AE477F">
        <w:t xml:space="preserve"> R. Cardiología Nuclear: Nuevos desarrollos y perspectivas futuras. </w:t>
      </w:r>
      <w:proofErr w:type="spellStart"/>
      <w:r w:rsidRPr="00AE477F">
        <w:t>Rev</w:t>
      </w:r>
      <w:proofErr w:type="spellEnd"/>
      <w:r w:rsidRPr="00AE477F">
        <w:t xml:space="preserve"> </w:t>
      </w:r>
      <w:proofErr w:type="spellStart"/>
      <w:r w:rsidRPr="00AE477F">
        <w:t>Med</w:t>
      </w:r>
      <w:proofErr w:type="spellEnd"/>
      <w:r w:rsidRPr="00AE477F">
        <w:t xml:space="preserve"> </w:t>
      </w:r>
      <w:proofErr w:type="spellStart"/>
      <w:r w:rsidRPr="00AE477F">
        <w:t>Clin</w:t>
      </w:r>
      <w:proofErr w:type="spellEnd"/>
      <w:r w:rsidRPr="00AE477F">
        <w:t xml:space="preserve"> Las Condes [Internet].  2018 Ene [citado 4 </w:t>
      </w:r>
      <w:proofErr w:type="spellStart"/>
      <w:r w:rsidRPr="00AE477F">
        <w:t>May</w:t>
      </w:r>
      <w:proofErr w:type="spellEnd"/>
      <w:r w:rsidRPr="00AE477F">
        <w:t xml:space="preserve"> 2018];29(1):54-60. Disponible en: </w:t>
      </w:r>
      <w:hyperlink r:id="rId24" w:history="1">
        <w:r w:rsidRPr="00AE477F">
          <w:rPr>
            <w:rStyle w:val="Hipervnculo"/>
          </w:rPr>
          <w:t>https://www.sciencedirect.com</w:t>
        </w:r>
      </w:hyperlink>
      <w:r w:rsidRPr="00AE477F">
        <w:t xml:space="preserve">. </w:t>
      </w:r>
    </w:p>
    <w:p w:rsidR="003D37F6" w:rsidRPr="00AE477F" w:rsidRDefault="003D37F6" w:rsidP="003D37F6">
      <w:pPr>
        <w:spacing w:line="360" w:lineRule="auto"/>
      </w:pPr>
      <w:r w:rsidRPr="00AE477F">
        <w:t>15. Instituto de Cardiología y Cirugía Cardiovascular [</w:t>
      </w:r>
      <w:proofErr w:type="spellStart"/>
      <w:r w:rsidRPr="00AE477F">
        <w:t>Infomed</w:t>
      </w:r>
      <w:proofErr w:type="spellEnd"/>
      <w:r w:rsidRPr="00AE477F">
        <w:t xml:space="preserve">]. Cuba: Medicina Nuclear. Disponible en:  </w:t>
      </w:r>
      <w:hyperlink r:id="rId25" w:history="1">
        <w:r w:rsidRPr="00AE477F">
          <w:rPr>
            <w:rStyle w:val="Hipervnculo"/>
          </w:rPr>
          <w:t>https://instituciones.sld.cu</w:t>
        </w:r>
      </w:hyperlink>
      <w:r w:rsidRPr="00AE477F">
        <w:t>.</w:t>
      </w:r>
    </w:p>
    <w:p w:rsidR="003D37F6" w:rsidRPr="00AE477F" w:rsidRDefault="003D37F6" w:rsidP="003D37F6">
      <w:pPr>
        <w:spacing w:before="120" w:after="120" w:line="360" w:lineRule="auto"/>
      </w:pPr>
      <w:r w:rsidRPr="00AE477F">
        <w:lastRenderedPageBreak/>
        <w:t xml:space="preserve">16. </w:t>
      </w:r>
      <w:proofErr w:type="spellStart"/>
      <w:r w:rsidRPr="00AE477F">
        <w:t>Peix-Gonzalez</w:t>
      </w:r>
      <w:proofErr w:type="spellEnd"/>
      <w:r w:rsidRPr="00AE477F">
        <w:t xml:space="preserve"> A. La cardiología nuclear en Cuba. </w:t>
      </w:r>
      <w:proofErr w:type="spellStart"/>
      <w:r w:rsidRPr="00AE477F">
        <w:t>Nucleus</w:t>
      </w:r>
      <w:proofErr w:type="spellEnd"/>
      <w:r w:rsidRPr="00AE477F">
        <w:t xml:space="preserve"> [Internet].  2014 Dic [citado 31 </w:t>
      </w:r>
      <w:proofErr w:type="spellStart"/>
      <w:r w:rsidRPr="00AE477F">
        <w:t>May</w:t>
      </w:r>
      <w:proofErr w:type="spellEnd"/>
      <w:r w:rsidRPr="00AE477F">
        <w:t xml:space="preserve"> 2019]; (56): [aprox. 6p.]. Disponible en: </w:t>
      </w:r>
      <w:hyperlink w:history="1">
        <w:r w:rsidRPr="00AE477F">
          <w:rPr>
            <w:rStyle w:val="Hipervnculo"/>
          </w:rPr>
          <w:t>https://scielo.sld.cu&gt;nuc035614</w:t>
        </w:r>
      </w:hyperlink>
      <w:r w:rsidRPr="00AE477F">
        <w:t xml:space="preserve">. </w:t>
      </w:r>
    </w:p>
    <w:p w:rsidR="003D37F6" w:rsidRPr="00AE477F" w:rsidRDefault="003D37F6" w:rsidP="003D37F6">
      <w:pPr>
        <w:spacing w:before="120" w:after="120" w:line="360" w:lineRule="auto"/>
      </w:pPr>
      <w:r w:rsidRPr="00AE477F">
        <w:rPr>
          <w:lang w:val="en-US"/>
        </w:rPr>
        <w:t xml:space="preserve">17.Montalescot G, </w:t>
      </w:r>
      <w:proofErr w:type="spellStart"/>
      <w:r w:rsidRPr="00AE477F">
        <w:rPr>
          <w:lang w:val="en-US"/>
        </w:rPr>
        <w:t>Sechtem</w:t>
      </w:r>
      <w:proofErr w:type="spellEnd"/>
      <w:r w:rsidRPr="00AE477F">
        <w:rPr>
          <w:lang w:val="en-US"/>
        </w:rPr>
        <w:t xml:space="preserve"> U, Achenbach S, Andreotti F, Arden C, </w:t>
      </w:r>
      <w:proofErr w:type="spellStart"/>
      <w:r w:rsidRPr="00AE477F">
        <w:rPr>
          <w:lang w:val="en-US"/>
        </w:rPr>
        <w:t>Budaj</w:t>
      </w:r>
      <w:proofErr w:type="spellEnd"/>
      <w:r w:rsidRPr="00AE477F">
        <w:rPr>
          <w:lang w:val="en-US"/>
        </w:rPr>
        <w:t xml:space="preserve"> A, et al. </w:t>
      </w:r>
      <w:r w:rsidRPr="00AE477F">
        <w:t xml:space="preserve">Guía de Práctica Clínica sobre diagnóstico y tratamiento de la cardiopatía isquémica estable.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2014 Feb [citado 10 Abr 2019];67(2):135-81. Disponible en: </w:t>
      </w:r>
      <w:hyperlink r:id="rId26" w:history="1">
        <w:r w:rsidRPr="00AE477F">
          <w:rPr>
            <w:rStyle w:val="Hipervnculo"/>
            <w:rFonts w:eastAsia="Times New Roman"/>
            <w:bCs/>
            <w:kern w:val="36"/>
          </w:rPr>
          <w:t>https://www.revespcardiol.org/es-guia-practica-clinica-esc-2013-articulo-S030089321400030X?referer=guias</w:t>
        </w:r>
      </w:hyperlink>
      <w:r w:rsidRPr="00AE477F">
        <w:rPr>
          <w:rStyle w:val="Hipervnculo"/>
          <w:rFonts w:eastAsia="Times New Roman"/>
          <w:bCs/>
          <w:kern w:val="36"/>
        </w:rPr>
        <w:t>.</w:t>
      </w:r>
    </w:p>
    <w:p w:rsidR="003D37F6" w:rsidRDefault="003D37F6" w:rsidP="003D37F6">
      <w:pPr>
        <w:spacing w:before="120" w:after="120" w:line="360" w:lineRule="auto"/>
      </w:pPr>
      <w:r w:rsidRPr="00AE477F">
        <w:rPr>
          <w:lang w:val="en-US"/>
        </w:rPr>
        <w:t>18.Neumann F,</w:t>
      </w:r>
      <w:r>
        <w:rPr>
          <w:lang w:val="en-US"/>
        </w:rPr>
        <w:t xml:space="preserve"> </w:t>
      </w:r>
      <w:r w:rsidRPr="00AE477F">
        <w:rPr>
          <w:lang w:val="en-US"/>
        </w:rPr>
        <w:t>Sousa-</w:t>
      </w:r>
      <w:proofErr w:type="spellStart"/>
      <w:r w:rsidRPr="00AE477F">
        <w:rPr>
          <w:lang w:val="en-US"/>
        </w:rPr>
        <w:t>Uva</w:t>
      </w:r>
      <w:proofErr w:type="spellEnd"/>
      <w:r w:rsidRPr="00AE477F">
        <w:rPr>
          <w:lang w:val="en-US"/>
        </w:rPr>
        <w:t xml:space="preserve"> M,</w:t>
      </w:r>
      <w:r>
        <w:rPr>
          <w:lang w:val="en-US"/>
        </w:rPr>
        <w:t xml:space="preserve"> </w:t>
      </w:r>
      <w:proofErr w:type="spellStart"/>
      <w:r w:rsidRPr="00AE477F">
        <w:rPr>
          <w:lang w:val="en-US"/>
        </w:rPr>
        <w:t>Ahlsson</w:t>
      </w:r>
      <w:proofErr w:type="spellEnd"/>
      <w:r w:rsidRPr="00AE477F">
        <w:rPr>
          <w:lang w:val="en-US"/>
        </w:rPr>
        <w:t xml:space="preserve"> A,</w:t>
      </w:r>
      <w:r>
        <w:rPr>
          <w:lang w:val="en-US"/>
        </w:rPr>
        <w:t xml:space="preserve"> </w:t>
      </w:r>
      <w:r w:rsidRPr="00AE477F">
        <w:rPr>
          <w:lang w:val="en-US"/>
        </w:rPr>
        <w:t xml:space="preserve">Alfonso F, Banning A, Byrne R, et al. </w:t>
      </w:r>
      <w:r w:rsidRPr="00AE477F">
        <w:t xml:space="preserve">Guía ESC/EACTS 2018 sobre revascularización miocárdica.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2019 Ene [citado 17Ago2019];72(1): [aprox. 76p.]. Disponible en: </w:t>
      </w:r>
      <w:hyperlink r:id="rId27" w:history="1">
        <w:r w:rsidRPr="00AE477F">
          <w:rPr>
            <w:rStyle w:val="Hipervnculo"/>
          </w:rPr>
          <w:t>https://www.revespcardiol.org/es-pdf-S0300893218306377</w:t>
        </w:r>
      </w:hyperlink>
      <w:r w:rsidRPr="00AE477F">
        <w:t>.</w:t>
      </w:r>
    </w:p>
    <w:p w:rsidR="003D37F6" w:rsidRDefault="003D37F6" w:rsidP="003D37F6">
      <w:pPr>
        <w:spacing w:before="120" w:after="120" w:line="360" w:lineRule="auto"/>
        <w:rPr>
          <w:lang w:val="en-US"/>
        </w:rPr>
      </w:pPr>
      <w:r>
        <w:rPr>
          <w:lang w:val="en-US"/>
        </w:rPr>
        <w:t>19</w:t>
      </w:r>
      <w:r w:rsidRPr="00AE477F">
        <w:rPr>
          <w:lang w:val="en-US"/>
        </w:rPr>
        <w:t xml:space="preserve">. </w:t>
      </w:r>
      <w:proofErr w:type="spellStart"/>
      <w:r w:rsidRPr="00AE477F">
        <w:rPr>
          <w:lang w:val="en-US"/>
        </w:rPr>
        <w:t>Hendel</w:t>
      </w:r>
      <w:proofErr w:type="spellEnd"/>
      <w:r w:rsidRPr="00AE477F">
        <w:rPr>
          <w:lang w:val="en-US"/>
        </w:rPr>
        <w:t xml:space="preserve"> R, Berman D, Di Carli M, </w:t>
      </w:r>
      <w:proofErr w:type="spellStart"/>
      <w:r w:rsidRPr="00AE477F">
        <w:rPr>
          <w:lang w:val="en-US"/>
        </w:rPr>
        <w:t>Heidenreich</w:t>
      </w:r>
      <w:proofErr w:type="spellEnd"/>
      <w:r w:rsidRPr="00AE477F">
        <w:rPr>
          <w:lang w:val="en-US"/>
        </w:rPr>
        <w:t xml:space="preserve"> P, et al. </w:t>
      </w:r>
      <w:r w:rsidRPr="00AE477F">
        <w:rPr>
          <w:color w:val="231F20"/>
          <w:lang w:val="en-US" w:eastAsia="es-ES"/>
        </w:rPr>
        <w:t>Appropriate use criteria for cardiac radionuclide imaging</w:t>
      </w:r>
      <w:r w:rsidRPr="00AE477F">
        <w:rPr>
          <w:lang w:val="en-US"/>
        </w:rPr>
        <w:t xml:space="preserve">. JACC [Internet].  2009 Jun [cited 2019 May 11];53(23):2201-29. Available from: </w:t>
      </w:r>
      <w:r w:rsidRPr="00AE477F">
        <w:rPr>
          <w:color w:val="0000FF"/>
          <w:lang w:val="en-US" w:eastAsia="es-ES"/>
        </w:rPr>
        <w:t xml:space="preserve"> </w:t>
      </w:r>
      <w:hyperlink r:id="rId28" w:history="1">
        <w:r w:rsidRPr="00EB69E9">
          <w:rPr>
            <w:rStyle w:val="Hipervnculo"/>
            <w:lang w:val="en-US"/>
          </w:rPr>
          <w:t>http://www.onlinejacc.org/content/69/5/570.abstract</w:t>
        </w:r>
      </w:hyperlink>
      <w:r w:rsidRPr="00EB69E9">
        <w:rPr>
          <w:rStyle w:val="Hipervnculo"/>
          <w:lang w:val="en-US"/>
        </w:rPr>
        <w:t xml:space="preserve">. </w:t>
      </w:r>
      <w:r w:rsidRPr="00EB69E9">
        <w:rPr>
          <w:lang w:val="en-US"/>
        </w:rPr>
        <w:t xml:space="preserve">  </w:t>
      </w:r>
    </w:p>
    <w:p w:rsidR="003D37F6" w:rsidRDefault="003D37F6" w:rsidP="003D37F6">
      <w:pPr>
        <w:spacing w:before="240" w:line="360" w:lineRule="auto"/>
      </w:pPr>
      <w:r>
        <w:t>20</w:t>
      </w:r>
      <w:r w:rsidRPr="00AE477F">
        <w:t xml:space="preserve">. </w:t>
      </w:r>
      <w:proofErr w:type="spellStart"/>
      <w:r w:rsidRPr="00AE477F">
        <w:t>Hermosín</w:t>
      </w:r>
      <w:proofErr w:type="spellEnd"/>
      <w:r w:rsidRPr="00AE477F">
        <w:t xml:space="preserve"> A, Pereira E, Núñez A</w:t>
      </w:r>
      <w:r>
        <w:t>,</w:t>
      </w:r>
      <w:r w:rsidRPr="00AE477F">
        <w:t xml:space="preserve"> et al. Factores de riesgo de la cardiopatía isquémica. </w:t>
      </w:r>
      <w:proofErr w:type="spellStart"/>
      <w:r w:rsidRPr="00AE477F">
        <w:t>Rev</w:t>
      </w:r>
      <w:proofErr w:type="spellEnd"/>
      <w:r w:rsidRPr="00AE477F">
        <w:t xml:space="preserve"> Portales</w:t>
      </w:r>
      <w:r w:rsidR="003D121B">
        <w:t xml:space="preserve"> Mé</w:t>
      </w:r>
      <w:r w:rsidRPr="00AE477F">
        <w:t xml:space="preserve">dicos [Internet].  2017 </w:t>
      </w:r>
      <w:proofErr w:type="spellStart"/>
      <w:r w:rsidRPr="00AE477F">
        <w:t>Sep</w:t>
      </w:r>
      <w:proofErr w:type="spellEnd"/>
      <w:r w:rsidRPr="00AE477F">
        <w:t xml:space="preserve"> [citado 11 Mar 2019];12(17): [aprox. 8p.]. Disponible en:  </w:t>
      </w:r>
      <w:hyperlink r:id="rId29" w:history="1">
        <w:r w:rsidRPr="00AE477F">
          <w:rPr>
            <w:rStyle w:val="Hipervnculo"/>
          </w:rPr>
          <w:t>http://www.revista-portalesmedicos.com</w:t>
        </w:r>
      </w:hyperlink>
      <w:r w:rsidRPr="00AE477F">
        <w:t xml:space="preserve">. </w:t>
      </w:r>
    </w:p>
    <w:p w:rsidR="003D37F6" w:rsidRDefault="003D37F6" w:rsidP="003D37F6">
      <w:pPr>
        <w:spacing w:before="240" w:line="360" w:lineRule="auto"/>
        <w:rPr>
          <w:lang w:val="en-US"/>
        </w:rPr>
      </w:pPr>
      <w:r>
        <w:rPr>
          <w:iCs/>
          <w:lang w:val="fr-FR"/>
        </w:rPr>
        <w:t>21</w:t>
      </w:r>
      <w:r w:rsidRPr="00AE477F">
        <w:rPr>
          <w:iCs/>
          <w:lang w:val="fr-FR"/>
        </w:rPr>
        <w:t>. Bonow R, Mann D</w:t>
      </w:r>
      <w:r>
        <w:rPr>
          <w:iCs/>
          <w:lang w:val="fr-FR"/>
        </w:rPr>
        <w:t>,</w:t>
      </w:r>
      <w:r w:rsidRPr="00AE477F">
        <w:rPr>
          <w:lang w:val="en-US"/>
        </w:rPr>
        <w:t xml:space="preserve"> et al.  </w:t>
      </w:r>
      <w:r w:rsidRPr="00AE477F">
        <w:rPr>
          <w:iCs/>
          <w:lang w:val="fr-FR"/>
        </w:rPr>
        <w:t>Braunwald -Tratado de cardiología</w:t>
      </w:r>
      <w:r w:rsidRPr="00AE477F">
        <w:t xml:space="preserve">.  10ma ed. </w:t>
      </w:r>
      <w:r w:rsidRPr="00EB69E9">
        <w:rPr>
          <w:lang w:val="en-US"/>
        </w:rPr>
        <w:t>Vol. 1. E.U.A: ELSEVIER; 2016 [</w:t>
      </w:r>
      <w:proofErr w:type="spellStart"/>
      <w:r w:rsidRPr="00EB69E9">
        <w:rPr>
          <w:lang w:val="en-US"/>
        </w:rPr>
        <w:t>citado</w:t>
      </w:r>
      <w:proofErr w:type="spellEnd"/>
      <w:r w:rsidRPr="00EB69E9">
        <w:rPr>
          <w:lang w:val="en-US"/>
        </w:rPr>
        <w:t xml:space="preserve"> 26 Oct 2018]. 273-319 p</w:t>
      </w:r>
    </w:p>
    <w:p w:rsidR="003D37F6" w:rsidRPr="00AE477F" w:rsidRDefault="003D37F6" w:rsidP="003D37F6">
      <w:pPr>
        <w:spacing w:line="360" w:lineRule="auto"/>
        <w:rPr>
          <w:lang w:val="en-US"/>
        </w:rPr>
      </w:pPr>
      <w:r>
        <w:rPr>
          <w:lang w:val="en-US"/>
        </w:rPr>
        <w:t>22</w:t>
      </w:r>
      <w:r w:rsidRPr="00AE477F">
        <w:rPr>
          <w:lang w:val="en-US"/>
        </w:rPr>
        <w:t>. American Heart Association. New York: AHA; c2003. Heart and Stroke Facts; [</w:t>
      </w:r>
      <w:r w:rsidRPr="00AE477F">
        <w:rPr>
          <w:bCs/>
          <w:lang w:val="en-US"/>
        </w:rPr>
        <w:t>updated</w:t>
      </w:r>
      <w:r w:rsidRPr="00AE477F">
        <w:rPr>
          <w:b/>
          <w:bCs/>
          <w:caps/>
          <w:lang w:val="en-US"/>
        </w:rPr>
        <w:t xml:space="preserve"> </w:t>
      </w:r>
      <w:r w:rsidRPr="00AE477F">
        <w:rPr>
          <w:bCs/>
          <w:caps/>
          <w:lang w:val="en-US"/>
        </w:rPr>
        <w:t xml:space="preserve">2004 </w:t>
      </w:r>
      <w:r w:rsidRPr="00AE477F">
        <w:rPr>
          <w:bCs/>
          <w:lang w:val="en-US"/>
        </w:rPr>
        <w:t>Jul</w:t>
      </w:r>
      <w:r w:rsidRPr="00AE477F">
        <w:rPr>
          <w:lang w:val="en-US"/>
        </w:rPr>
        <w:t xml:space="preserve">; cited 2017 Feb 21]; [2 p.]. Available from: </w:t>
      </w:r>
      <w:hyperlink r:id="rId30" w:history="1">
        <w:r w:rsidRPr="00AE477F">
          <w:rPr>
            <w:rStyle w:val="Hipervnculo"/>
            <w:lang w:val="en-US"/>
          </w:rPr>
          <w:t>http://www.americanheart.org</w:t>
        </w:r>
      </w:hyperlink>
    </w:p>
    <w:p w:rsidR="003D37F6" w:rsidRPr="00AE477F" w:rsidRDefault="003D37F6" w:rsidP="003D37F6">
      <w:pPr>
        <w:spacing w:before="240" w:line="360" w:lineRule="auto"/>
      </w:pPr>
      <w:r>
        <w:rPr>
          <w:lang w:val="en-US"/>
        </w:rPr>
        <w:t>23</w:t>
      </w:r>
      <w:r w:rsidRPr="00EB69E9">
        <w:rPr>
          <w:lang w:val="en-US"/>
        </w:rPr>
        <w:t xml:space="preserve">. </w:t>
      </w:r>
      <w:proofErr w:type="spellStart"/>
      <w:r w:rsidRPr="00EB69E9">
        <w:rPr>
          <w:lang w:val="en-US"/>
        </w:rPr>
        <w:t>Delcán</w:t>
      </w:r>
      <w:proofErr w:type="spellEnd"/>
      <w:r w:rsidRPr="00EB69E9">
        <w:rPr>
          <w:lang w:val="en-US"/>
        </w:rPr>
        <w:t xml:space="preserve"> J.L</w:t>
      </w:r>
      <w:r>
        <w:rPr>
          <w:lang w:val="en-US"/>
        </w:rPr>
        <w:t>,</w:t>
      </w:r>
      <w:r w:rsidRPr="00EB69E9">
        <w:rPr>
          <w:lang w:val="en-US"/>
        </w:rPr>
        <w:t xml:space="preserve"> et al.  </w:t>
      </w:r>
      <w:r w:rsidRPr="00AE477F">
        <w:t xml:space="preserve">Cardiopatía Isquémica.1999. España: Servicio de cardiología del Hospital General Universitario Gregorio Marañón; 1999 [citado 16 </w:t>
      </w:r>
      <w:proofErr w:type="spellStart"/>
      <w:r w:rsidRPr="00AE477F">
        <w:t>may</w:t>
      </w:r>
      <w:proofErr w:type="spellEnd"/>
      <w:r w:rsidRPr="00AE477F">
        <w:t xml:space="preserve"> 2017]. 15-241 p.</w:t>
      </w:r>
    </w:p>
    <w:p w:rsidR="003D37F6" w:rsidRPr="00AE477F" w:rsidRDefault="003D37F6" w:rsidP="003D37F6">
      <w:pPr>
        <w:spacing w:before="240" w:line="360" w:lineRule="auto"/>
      </w:pPr>
    </w:p>
    <w:p w:rsidR="003D37F6" w:rsidRDefault="003D37F6" w:rsidP="003D37F6">
      <w:pPr>
        <w:spacing w:before="120" w:after="120" w:line="360" w:lineRule="auto"/>
      </w:pPr>
      <w:r>
        <w:lastRenderedPageBreak/>
        <w:t xml:space="preserve">24. </w:t>
      </w:r>
      <w:proofErr w:type="spellStart"/>
      <w:r w:rsidRPr="00037B4F">
        <w:t>Arós</w:t>
      </w:r>
      <w:proofErr w:type="spellEnd"/>
      <w:r w:rsidRPr="00037B4F">
        <w:t xml:space="preserve"> F, </w:t>
      </w:r>
      <w:proofErr w:type="spellStart"/>
      <w:r w:rsidRPr="00037B4F">
        <w:t>Boraita</w:t>
      </w:r>
      <w:proofErr w:type="spellEnd"/>
      <w:r w:rsidRPr="00037B4F">
        <w:t xml:space="preserve"> A, Alegría E, Alonso A, Bardají A</w:t>
      </w:r>
      <w:r>
        <w:t>,</w:t>
      </w:r>
      <w:r w:rsidRPr="00037B4F">
        <w:t xml:space="preserve"> et al. </w:t>
      </w:r>
      <w:r w:rsidR="003D121B" w:rsidRPr="00037B4F">
        <w:t>Guías</w:t>
      </w:r>
      <w:r w:rsidRPr="00037B4F">
        <w:t xml:space="preserve"> de </w:t>
      </w:r>
      <w:proofErr w:type="spellStart"/>
      <w:r w:rsidRPr="00037B4F">
        <w:t>Practica</w:t>
      </w:r>
      <w:proofErr w:type="spellEnd"/>
      <w:r w:rsidRPr="00037B4F">
        <w:t xml:space="preserve"> </w:t>
      </w:r>
      <w:r w:rsidR="003D121B" w:rsidRPr="00037B4F">
        <w:t>Clínica</w:t>
      </w:r>
      <w:r w:rsidRPr="00037B4F">
        <w:t xml:space="preserve"> en la prueba de esfuerzo. </w:t>
      </w:r>
      <w:proofErr w:type="spellStart"/>
      <w:r w:rsidRPr="00037B4F">
        <w:t>Rev</w:t>
      </w:r>
      <w:proofErr w:type="spellEnd"/>
      <w:r w:rsidRPr="00037B4F">
        <w:t xml:space="preserve"> </w:t>
      </w:r>
      <w:proofErr w:type="spellStart"/>
      <w:r w:rsidRPr="00037B4F">
        <w:t>Esp</w:t>
      </w:r>
      <w:proofErr w:type="spellEnd"/>
      <w:r w:rsidRPr="00037B4F">
        <w:t xml:space="preserve"> </w:t>
      </w:r>
      <w:proofErr w:type="spellStart"/>
      <w:r w:rsidRPr="00037B4F">
        <w:t>Cardiol</w:t>
      </w:r>
      <w:proofErr w:type="spellEnd"/>
      <w:r w:rsidRPr="00037B4F">
        <w:t xml:space="preserve"> [Internet].  2000 </w:t>
      </w:r>
      <w:proofErr w:type="spellStart"/>
      <w:r w:rsidRPr="00037B4F">
        <w:t>Ago</w:t>
      </w:r>
      <w:proofErr w:type="spellEnd"/>
      <w:r w:rsidRPr="00037B4F">
        <w:t xml:space="preserve">  [citado 16 Oct 2018];53(8):1063.94. Disponible en: </w:t>
      </w:r>
      <w:hyperlink r:id="rId31" w:history="1">
        <w:r w:rsidRPr="00EF11B8">
          <w:rPr>
            <w:rStyle w:val="Hipervnculo"/>
          </w:rPr>
          <w:t>http://www.revespcardiol.org/es-guias-practica-clinica-sociedad-articulo-x03000893200108041</w:t>
        </w:r>
      </w:hyperlink>
      <w:r w:rsidRPr="00037B4F">
        <w:t>.</w:t>
      </w:r>
      <w:r>
        <w:t xml:space="preserve"> </w:t>
      </w:r>
    </w:p>
    <w:p w:rsidR="003D37F6" w:rsidRDefault="003D37F6" w:rsidP="003D37F6">
      <w:pPr>
        <w:spacing w:before="120" w:after="120" w:line="360" w:lineRule="auto"/>
        <w:rPr>
          <w:rStyle w:val="Hipervnculo"/>
        </w:rPr>
      </w:pPr>
      <w:r>
        <w:t>25</w:t>
      </w:r>
      <w:r w:rsidRPr="00AE477F">
        <w:t xml:space="preserve">. </w:t>
      </w:r>
      <w:r w:rsidRPr="00AE477F">
        <w:rPr>
          <w:bCs/>
          <w:iCs/>
          <w:color w:val="000000" w:themeColor="text1"/>
        </w:rPr>
        <w:t xml:space="preserve">Padrón K, </w:t>
      </w:r>
      <w:proofErr w:type="spellStart"/>
      <w:r w:rsidRPr="00AE477F">
        <w:rPr>
          <w:bCs/>
          <w:iCs/>
          <w:color w:val="000000" w:themeColor="text1"/>
        </w:rPr>
        <w:t>Peix</w:t>
      </w:r>
      <w:proofErr w:type="spellEnd"/>
      <w:r w:rsidRPr="00AE477F">
        <w:rPr>
          <w:bCs/>
          <w:iCs/>
          <w:color w:val="000000" w:themeColor="text1"/>
        </w:rPr>
        <w:t xml:space="preserve"> A, Cabrera L, et al. Gammagrafía de perfusión miocárdica versus otras</w:t>
      </w:r>
      <w:r w:rsidRPr="00AE477F">
        <w:rPr>
          <w:color w:val="000000" w:themeColor="text1"/>
        </w:rPr>
        <w:t xml:space="preserve"> </w:t>
      </w:r>
      <w:r w:rsidRPr="00AE477F">
        <w:rPr>
          <w:bCs/>
          <w:iCs/>
          <w:color w:val="000000" w:themeColor="text1"/>
        </w:rPr>
        <w:t>técnicas en el diagnóstico de enfermedad arterial coronaria.</w:t>
      </w:r>
      <w:r w:rsidRPr="00AE477F">
        <w:rPr>
          <w:color w:val="000000" w:themeColor="text1"/>
        </w:rPr>
        <w:t xml:space="preserve"> </w:t>
      </w:r>
      <w:proofErr w:type="spellStart"/>
      <w:r w:rsidRPr="00AE477F">
        <w:rPr>
          <w:color w:val="000000" w:themeColor="text1"/>
        </w:rPr>
        <w:t>Rev</w:t>
      </w:r>
      <w:proofErr w:type="spellEnd"/>
      <w:r w:rsidRPr="00AE477F">
        <w:rPr>
          <w:color w:val="000000" w:themeColor="text1"/>
        </w:rPr>
        <w:t xml:space="preserve"> </w:t>
      </w:r>
      <w:proofErr w:type="spellStart"/>
      <w:r w:rsidRPr="00AE477F">
        <w:rPr>
          <w:color w:val="000000" w:themeColor="text1"/>
        </w:rPr>
        <w:t>Cub</w:t>
      </w:r>
      <w:proofErr w:type="spellEnd"/>
      <w:r w:rsidRPr="00AE477F">
        <w:rPr>
          <w:color w:val="000000" w:themeColor="text1"/>
        </w:rPr>
        <w:t xml:space="preserve"> </w:t>
      </w:r>
      <w:proofErr w:type="spellStart"/>
      <w:r w:rsidRPr="00AE477F">
        <w:rPr>
          <w:iCs/>
          <w:color w:val="000000" w:themeColor="text1"/>
        </w:rPr>
        <w:t>Cardiol</w:t>
      </w:r>
      <w:proofErr w:type="spellEnd"/>
      <w:r w:rsidRPr="00AE477F">
        <w:rPr>
          <w:iCs/>
          <w:color w:val="000000" w:themeColor="text1"/>
        </w:rPr>
        <w:t xml:space="preserve"> </w:t>
      </w:r>
      <w:r w:rsidRPr="00AE477F">
        <w:t>[Internet]</w:t>
      </w:r>
      <w:r w:rsidRPr="00AE477F">
        <w:rPr>
          <w:iCs/>
          <w:color w:val="000000" w:themeColor="text1"/>
        </w:rPr>
        <w:t>.</w:t>
      </w:r>
      <w:r w:rsidRPr="00AE477F">
        <w:rPr>
          <w:color w:val="000000" w:themeColor="text1"/>
        </w:rPr>
        <w:t xml:space="preserve"> </w:t>
      </w:r>
      <w:r w:rsidRPr="00AE477F">
        <w:t xml:space="preserve">2016 Mar [citado 10 Abr 2019];22(1):25-34. Disponible en: </w:t>
      </w:r>
      <w:hyperlink r:id="rId32" w:history="1">
        <w:r w:rsidRPr="00AE477F">
          <w:rPr>
            <w:rStyle w:val="Hipervnculo"/>
          </w:rPr>
          <w:t>http://www.medigrafic.com</w:t>
        </w:r>
      </w:hyperlink>
      <w:r>
        <w:rPr>
          <w:rStyle w:val="Hipervnculo"/>
        </w:rPr>
        <w:t>.</w:t>
      </w:r>
    </w:p>
    <w:p w:rsidR="003D37F6" w:rsidRPr="00AE477F" w:rsidRDefault="003D37F6" w:rsidP="003D37F6">
      <w:pPr>
        <w:spacing w:after="200" w:line="360" w:lineRule="auto"/>
      </w:pPr>
      <w:r>
        <w:t>26</w:t>
      </w:r>
      <w:r w:rsidRPr="00AE477F">
        <w:t xml:space="preserve">. Llerena-Rojas L, </w:t>
      </w:r>
      <w:proofErr w:type="spellStart"/>
      <w:r w:rsidRPr="00AE477F">
        <w:t>Peix</w:t>
      </w:r>
      <w:proofErr w:type="spellEnd"/>
      <w:r w:rsidRPr="00AE477F">
        <w:t>-González A, Valiente-</w:t>
      </w:r>
      <w:proofErr w:type="spellStart"/>
      <w:r w:rsidRPr="00AE477F">
        <w:t>Mustelier</w:t>
      </w:r>
      <w:proofErr w:type="spellEnd"/>
      <w:r w:rsidRPr="00AE477F">
        <w:t xml:space="preserve"> J. Técnicas de imagen no invasivas en la valoración y la prevención de la enfermedad coronaria.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2011  [citado 24 Ene 2019];22 </w:t>
      </w:r>
      <w:proofErr w:type="spellStart"/>
      <w:r w:rsidRPr="00AE477F">
        <w:t>Supl</w:t>
      </w:r>
      <w:proofErr w:type="spellEnd"/>
      <w:r w:rsidRPr="00AE477F">
        <w:t xml:space="preserve"> E:S36-44. Disponible en:  </w:t>
      </w:r>
      <w:hyperlink r:id="rId33" w:history="1">
        <w:r w:rsidRPr="00AE477F">
          <w:rPr>
            <w:rStyle w:val="Hipervnculo"/>
          </w:rPr>
          <w:t>http://www.revespcardiol.org</w:t>
        </w:r>
      </w:hyperlink>
      <w:r w:rsidRPr="00AE477F">
        <w:rPr>
          <w:rStyle w:val="Hipervnculo"/>
        </w:rPr>
        <w:t>.</w:t>
      </w:r>
    </w:p>
    <w:p w:rsidR="003D37F6" w:rsidRDefault="003D37F6" w:rsidP="003D37F6">
      <w:pPr>
        <w:spacing w:before="120" w:after="120" w:line="360" w:lineRule="auto"/>
        <w:rPr>
          <w:lang w:val="en-US"/>
        </w:rPr>
      </w:pPr>
      <w:r>
        <w:rPr>
          <w:lang w:val="en-US"/>
        </w:rPr>
        <w:t>27</w:t>
      </w:r>
      <w:r w:rsidRPr="00AE477F">
        <w:rPr>
          <w:lang w:val="en-US"/>
        </w:rPr>
        <w:t xml:space="preserve">. </w:t>
      </w:r>
      <w:proofErr w:type="spellStart"/>
      <w:r w:rsidRPr="00AE477F">
        <w:rPr>
          <w:lang w:val="en-US"/>
        </w:rPr>
        <w:t>Henzlova</w:t>
      </w:r>
      <w:proofErr w:type="spellEnd"/>
      <w:r w:rsidRPr="00AE477F">
        <w:rPr>
          <w:lang w:val="en-US"/>
        </w:rPr>
        <w:t xml:space="preserve"> M, Lane-Duvall W,</w:t>
      </w:r>
      <w:r>
        <w:rPr>
          <w:lang w:val="en-US"/>
        </w:rPr>
        <w:t xml:space="preserve"> </w:t>
      </w:r>
      <w:r w:rsidRPr="00AE477F">
        <w:rPr>
          <w:lang w:val="en-US"/>
        </w:rPr>
        <w:t xml:space="preserve">Einstein A, </w:t>
      </w:r>
      <w:proofErr w:type="spellStart"/>
      <w:r w:rsidRPr="00AE477F">
        <w:rPr>
          <w:lang w:val="en-US"/>
        </w:rPr>
        <w:t>Travin</w:t>
      </w:r>
      <w:proofErr w:type="spellEnd"/>
      <w:r w:rsidRPr="00AE477F">
        <w:rPr>
          <w:lang w:val="en-US"/>
        </w:rPr>
        <w:t xml:space="preserve"> M, </w:t>
      </w:r>
      <w:proofErr w:type="spellStart"/>
      <w:r w:rsidRPr="00AE477F">
        <w:rPr>
          <w:lang w:val="en-US"/>
        </w:rPr>
        <w:t>Verberne</w:t>
      </w:r>
      <w:proofErr w:type="spellEnd"/>
      <w:r w:rsidRPr="00AE477F">
        <w:rPr>
          <w:lang w:val="en-US"/>
        </w:rPr>
        <w:t xml:space="preserve"> H. ASNC imaging guidelines for SPECT nuclear cardiology procedures: Stress, protocols, and tracers. J </w:t>
      </w:r>
      <w:proofErr w:type="spellStart"/>
      <w:r w:rsidRPr="00AE477F">
        <w:rPr>
          <w:lang w:val="en-US"/>
        </w:rPr>
        <w:t>Nucl</w:t>
      </w:r>
      <w:proofErr w:type="spellEnd"/>
      <w:r w:rsidRPr="00AE477F">
        <w:rPr>
          <w:lang w:val="en-US"/>
        </w:rPr>
        <w:t xml:space="preserve"> </w:t>
      </w:r>
      <w:proofErr w:type="spellStart"/>
      <w:r w:rsidRPr="00AE477F">
        <w:rPr>
          <w:lang w:val="en-US"/>
        </w:rPr>
        <w:t>Cardiol</w:t>
      </w:r>
      <w:proofErr w:type="spellEnd"/>
      <w:r w:rsidRPr="00AE477F">
        <w:rPr>
          <w:lang w:val="en-US"/>
        </w:rPr>
        <w:t xml:space="preserve"> </w:t>
      </w:r>
      <w:r w:rsidRPr="00EB69E9">
        <w:rPr>
          <w:lang w:val="en-US"/>
        </w:rPr>
        <w:t>[Internet]</w:t>
      </w:r>
      <w:r w:rsidRPr="00AE477F">
        <w:rPr>
          <w:lang w:val="en-US"/>
        </w:rPr>
        <w:t xml:space="preserve">. 2016 Jun [cited 2019 May16];23(3):606-39. Available from: </w:t>
      </w:r>
      <w:hyperlink r:id="rId34" w:history="1">
        <w:r w:rsidRPr="00AE477F">
          <w:rPr>
            <w:lang w:val="en-US"/>
          </w:rPr>
          <w:t>https://link.springer.com/article/10.1007/s12350-015-0387-x</w:t>
        </w:r>
      </w:hyperlink>
      <w:r w:rsidRPr="00AE477F">
        <w:rPr>
          <w:lang w:val="en-US"/>
        </w:rPr>
        <w:t xml:space="preserve">.   </w:t>
      </w:r>
    </w:p>
    <w:p w:rsidR="003D37F6" w:rsidRDefault="003D37F6" w:rsidP="003D37F6">
      <w:pPr>
        <w:spacing w:before="120" w:after="120" w:line="360" w:lineRule="auto"/>
        <w:rPr>
          <w:lang w:val="en-US"/>
        </w:rPr>
      </w:pPr>
      <w:r>
        <w:t xml:space="preserve">28. </w:t>
      </w:r>
      <w:proofErr w:type="spellStart"/>
      <w:r w:rsidRPr="00721C8F">
        <w:t>Dorbala</w:t>
      </w:r>
      <w:proofErr w:type="spellEnd"/>
      <w:r w:rsidRPr="00721C8F">
        <w:t xml:space="preserve"> S, </w:t>
      </w:r>
      <w:proofErr w:type="spellStart"/>
      <w:r w:rsidRPr="00721C8F">
        <w:t>Ananthasubramaniam</w:t>
      </w:r>
      <w:proofErr w:type="spellEnd"/>
      <w:r w:rsidRPr="00721C8F">
        <w:t xml:space="preserve"> K, Armstrong I, </w:t>
      </w:r>
      <w:proofErr w:type="spellStart"/>
      <w:r w:rsidRPr="00721C8F">
        <w:t>Chareonthaitawee</w:t>
      </w:r>
      <w:proofErr w:type="spellEnd"/>
      <w:r w:rsidRPr="00721C8F">
        <w:t xml:space="preserve"> P, Gordon-</w:t>
      </w:r>
      <w:proofErr w:type="spellStart"/>
      <w:r w:rsidRPr="00721C8F">
        <w:t>DePuey</w:t>
      </w:r>
      <w:proofErr w:type="spellEnd"/>
      <w:r w:rsidRPr="00721C8F">
        <w:t xml:space="preserve"> E</w:t>
      </w:r>
      <w:r>
        <w:t>,</w:t>
      </w:r>
      <w:r w:rsidRPr="00721C8F">
        <w:t xml:space="preserve"> et al. ASNC SPECT </w:t>
      </w:r>
      <w:proofErr w:type="spellStart"/>
      <w:r w:rsidRPr="00721C8F">
        <w:t>Imaging</w:t>
      </w:r>
      <w:proofErr w:type="spellEnd"/>
      <w:r w:rsidRPr="00721C8F">
        <w:t xml:space="preserve"> </w:t>
      </w:r>
      <w:proofErr w:type="spellStart"/>
      <w:r w:rsidRPr="00721C8F">
        <w:t>Guidelines</w:t>
      </w:r>
      <w:proofErr w:type="spellEnd"/>
      <w:r w:rsidRPr="00721C8F">
        <w:t xml:space="preserve">. J </w:t>
      </w:r>
      <w:proofErr w:type="spellStart"/>
      <w:r w:rsidRPr="00721C8F">
        <w:t>Nucl</w:t>
      </w:r>
      <w:proofErr w:type="spellEnd"/>
      <w:r w:rsidRPr="00721C8F">
        <w:t xml:space="preserve"> </w:t>
      </w:r>
      <w:proofErr w:type="spellStart"/>
      <w:r w:rsidRPr="00721C8F">
        <w:t>Cardiol</w:t>
      </w:r>
      <w:proofErr w:type="spellEnd"/>
      <w:r w:rsidRPr="00721C8F">
        <w:rPr>
          <w:lang w:val="en-US"/>
        </w:rPr>
        <w:t xml:space="preserve"> [Internet].  </w:t>
      </w:r>
      <w:r w:rsidRPr="00721C8F">
        <w:t>2018</w:t>
      </w:r>
      <w:r w:rsidRPr="00721C8F">
        <w:rPr>
          <w:lang w:val="en-US"/>
        </w:rPr>
        <w:t xml:space="preserve"> </w:t>
      </w:r>
      <w:proofErr w:type="spellStart"/>
      <w:r w:rsidRPr="00721C8F">
        <w:t>May</w:t>
      </w:r>
      <w:proofErr w:type="spellEnd"/>
      <w:r w:rsidRPr="00721C8F">
        <w:t xml:space="preserve"> </w:t>
      </w:r>
      <w:r w:rsidRPr="00721C8F">
        <w:rPr>
          <w:lang w:val="en-US"/>
        </w:rPr>
        <w:t xml:space="preserve">[cited </w:t>
      </w:r>
      <w:r w:rsidRPr="00721C8F">
        <w:t>2018</w:t>
      </w:r>
      <w:r w:rsidRPr="00721C8F">
        <w:rPr>
          <w:lang w:val="en-US"/>
        </w:rPr>
        <w:t xml:space="preserve"> </w:t>
      </w:r>
      <w:r w:rsidRPr="00721C8F">
        <w:t xml:space="preserve">Oct16];25(5):1784-1846. </w:t>
      </w:r>
      <w:r w:rsidRPr="00721C8F">
        <w:rPr>
          <w:lang w:val="en-US"/>
        </w:rPr>
        <w:t xml:space="preserve"> Available from: http://</w:t>
      </w:r>
      <w:r w:rsidRPr="00721C8F">
        <w:t>doi:10.1007/s12350-018-1283-y</w:t>
      </w:r>
      <w:r w:rsidRPr="00721C8F">
        <w:rPr>
          <w:lang w:val="en-US"/>
        </w:rPr>
        <w:t xml:space="preserve">. </w:t>
      </w:r>
    </w:p>
    <w:p w:rsidR="003D37F6" w:rsidRPr="00481FCE" w:rsidRDefault="003D37F6" w:rsidP="003D37F6">
      <w:pPr>
        <w:spacing w:before="100" w:beforeAutospacing="1" w:after="100" w:afterAutospacing="1" w:line="360" w:lineRule="auto"/>
      </w:pPr>
      <w:r>
        <w:t>29</w:t>
      </w:r>
      <w:r w:rsidRPr="00AE477F">
        <w:t xml:space="preserve">. </w:t>
      </w:r>
      <w:proofErr w:type="spellStart"/>
      <w:r w:rsidRPr="00AE477F">
        <w:t>Candell</w:t>
      </w:r>
      <w:proofErr w:type="spellEnd"/>
      <w:r w:rsidRPr="00AE477F">
        <w:t xml:space="preserve"> Riera J, Castell J, Jurado J, López E, et al. </w:t>
      </w:r>
      <w:r w:rsidRPr="00AE477F">
        <w:rPr>
          <w:bCs/>
        </w:rPr>
        <w:t>Guías de actuación clínica de la Sociedad Española de Cardiología. Cardiología nuclear: bases técnicas y aplicaciones clínicas</w:t>
      </w:r>
      <w:r w:rsidRPr="00AE477F">
        <w:t xml:space="preserve">.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1999 Nov [citado 12 Feb 2019];52(11):957-89. Disponible en: </w:t>
      </w:r>
      <w:hyperlink r:id="rId35" w:history="1">
        <w:r w:rsidRPr="00AE477F">
          <w:rPr>
            <w:rStyle w:val="Hipervnculo"/>
            <w:rFonts w:eastAsia="Times New Roman"/>
            <w:bCs/>
            <w:kern w:val="36"/>
          </w:rPr>
          <w:t>https://www.sciencedirect.com/science/article/pii/S0300893299750256</w:t>
        </w:r>
      </w:hyperlink>
      <w:r w:rsidRPr="00AE477F">
        <w:rPr>
          <w:rStyle w:val="Hipervnculo"/>
          <w:rFonts w:eastAsia="Times New Roman"/>
          <w:bCs/>
          <w:kern w:val="36"/>
        </w:rPr>
        <w:t>.</w:t>
      </w:r>
      <w:r w:rsidRPr="00AE477F">
        <w:rPr>
          <w:rStyle w:val="Hipervnculo"/>
          <w:rFonts w:eastAsia="Times New Roman"/>
          <w:b/>
          <w:bCs/>
          <w:kern w:val="36"/>
        </w:rPr>
        <w:t xml:space="preserve"> </w:t>
      </w:r>
      <w:r w:rsidRPr="00AE477F">
        <w:t xml:space="preserve"> </w:t>
      </w:r>
    </w:p>
    <w:p w:rsidR="003D37F6" w:rsidRDefault="003D37F6" w:rsidP="003D37F6">
      <w:pPr>
        <w:spacing w:line="480" w:lineRule="auto"/>
      </w:pPr>
      <w:r>
        <w:t xml:space="preserve">30. </w:t>
      </w:r>
      <w:proofErr w:type="spellStart"/>
      <w:r>
        <w:t>Falconi</w:t>
      </w:r>
      <w:proofErr w:type="spellEnd"/>
      <w:r>
        <w:t xml:space="preserve"> M, </w:t>
      </w:r>
      <w:proofErr w:type="spellStart"/>
      <w:r>
        <w:t>Masoli</w:t>
      </w:r>
      <w:proofErr w:type="spellEnd"/>
      <w:r>
        <w:t xml:space="preserve"> O,</w:t>
      </w:r>
      <w:r w:rsidRPr="00AE477F">
        <w:t xml:space="preserve"> et al. Consenso de Imágenes Cardiovasculares no Invasivas en Adultos. XXIV Congreso Interamericano de </w:t>
      </w:r>
      <w:r w:rsidR="003D121B" w:rsidRPr="00AE477F">
        <w:t>Cardiología</w:t>
      </w:r>
      <w:r w:rsidRPr="00AE477F">
        <w:t xml:space="preserve"> [Internet]. </w:t>
      </w:r>
      <w:r w:rsidRPr="00AE477F">
        <w:lastRenderedPageBreak/>
        <w:t xml:space="preserve">Argentina. 2013 Oct 20 [citado 16 </w:t>
      </w:r>
      <w:proofErr w:type="spellStart"/>
      <w:r w:rsidRPr="00AE477F">
        <w:t>May</w:t>
      </w:r>
      <w:proofErr w:type="spellEnd"/>
      <w:r w:rsidRPr="00AE477F">
        <w:t xml:space="preserve"> 2019]. p. 70-93. Disponible en:  </w:t>
      </w:r>
      <w:hyperlink r:id="rId36" w:history="1">
        <w:r w:rsidRPr="00EB69E9">
          <w:rPr>
            <w:rStyle w:val="Hipervnculo"/>
          </w:rPr>
          <w:t>http://ppct.caicyt.gov.ar/index.php/rac/article/view/10252</w:t>
        </w:r>
      </w:hyperlink>
      <w:r w:rsidRPr="00AE477F">
        <w:t>.</w:t>
      </w:r>
    </w:p>
    <w:p w:rsidR="00D347DD" w:rsidRDefault="00D347DD" w:rsidP="003D37F6">
      <w:pPr>
        <w:spacing w:line="480" w:lineRule="auto"/>
      </w:pPr>
    </w:p>
    <w:p w:rsidR="008E3FBC" w:rsidRDefault="008E3FBC" w:rsidP="008E3FBC">
      <w:pPr>
        <w:spacing w:after="200" w:line="360" w:lineRule="auto"/>
        <w:rPr>
          <w:rStyle w:val="Hipervnculo"/>
        </w:rPr>
      </w:pPr>
      <w:r>
        <w:t>31</w:t>
      </w:r>
      <w:r w:rsidRPr="00AE477F">
        <w:t xml:space="preserve">. Posadas-Romero C, López-Bautista F, Rodas-Díaz M, et al. Prevalencia y extensión de la </w:t>
      </w:r>
      <w:proofErr w:type="spellStart"/>
      <w:r w:rsidRPr="00AE477F">
        <w:t>calciﬁcación</w:t>
      </w:r>
      <w:proofErr w:type="spellEnd"/>
      <w:r w:rsidRPr="00AE477F">
        <w:t xml:space="preserve"> arterial coronaria en población mexicana asintomática cardiovascular: estudio Genética de la Enfermedad </w:t>
      </w:r>
      <w:proofErr w:type="spellStart"/>
      <w:r w:rsidRPr="00AE477F">
        <w:t>Aterosclerosa</w:t>
      </w:r>
      <w:proofErr w:type="spellEnd"/>
      <w:r w:rsidRPr="00AE477F">
        <w:t xml:space="preserve">. </w:t>
      </w:r>
      <w:proofErr w:type="spellStart"/>
      <w:r w:rsidRPr="00AE477F">
        <w:t>Arch</w:t>
      </w:r>
      <w:proofErr w:type="spellEnd"/>
      <w:r w:rsidRPr="00AE477F">
        <w:t xml:space="preserve"> </w:t>
      </w:r>
      <w:proofErr w:type="spellStart"/>
      <w:r w:rsidRPr="00AE477F">
        <w:t>Cardiol</w:t>
      </w:r>
      <w:proofErr w:type="spellEnd"/>
      <w:r w:rsidRPr="00AE477F">
        <w:t xml:space="preserve"> </w:t>
      </w:r>
      <w:proofErr w:type="spellStart"/>
      <w:r w:rsidRPr="00AE477F">
        <w:t>Mex</w:t>
      </w:r>
      <w:proofErr w:type="spellEnd"/>
      <w:r w:rsidRPr="00AE477F">
        <w:t xml:space="preserve"> [Internet]. 2016 Dic [citado 12 Feb 2019];87(4):292-301. Disponible en: </w:t>
      </w:r>
      <w:hyperlink r:id="rId37" w:history="1">
        <w:r w:rsidRPr="00AE477F">
          <w:rPr>
            <w:rStyle w:val="Hipervnculo"/>
          </w:rPr>
          <w:t>http://www.scielo.org.mx/scielo.php?pid=S140599402017000400292&amp;script=sci_arttext&amp;tlng=en</w:t>
        </w:r>
      </w:hyperlink>
      <w:r w:rsidRPr="00AE477F">
        <w:rPr>
          <w:rStyle w:val="Hipervnculo"/>
        </w:rPr>
        <w:t xml:space="preserve">. </w:t>
      </w:r>
    </w:p>
    <w:p w:rsidR="008E3FBC" w:rsidRPr="00AE477F" w:rsidRDefault="008E3FBC" w:rsidP="008E3FBC">
      <w:pPr>
        <w:spacing w:before="120" w:after="120" w:line="360" w:lineRule="auto"/>
        <w:rPr>
          <w:lang w:val="en-US"/>
        </w:rPr>
      </w:pPr>
      <w:r w:rsidRPr="00EB69E9">
        <w:rPr>
          <w:lang w:val="en-US"/>
        </w:rPr>
        <w:t>3</w:t>
      </w:r>
      <w:r>
        <w:rPr>
          <w:lang w:val="en-US"/>
        </w:rPr>
        <w:t>2</w:t>
      </w:r>
      <w:r w:rsidRPr="00EB69E9">
        <w:rPr>
          <w:lang w:val="en-US"/>
        </w:rPr>
        <w:t xml:space="preserve">. </w:t>
      </w:r>
      <w:proofErr w:type="spellStart"/>
      <w:r w:rsidRPr="00EB69E9">
        <w:rPr>
          <w:lang w:val="en-US"/>
        </w:rPr>
        <w:t>Hachamovitch</w:t>
      </w:r>
      <w:proofErr w:type="spellEnd"/>
      <w:r w:rsidRPr="00EB69E9">
        <w:rPr>
          <w:lang w:val="en-US"/>
        </w:rPr>
        <w:t xml:space="preserve"> R, Hayes SW, Friedman JD, Cohen I, Shaw LJ, </w:t>
      </w:r>
      <w:proofErr w:type="spellStart"/>
      <w:r w:rsidRPr="00EB69E9">
        <w:rPr>
          <w:lang w:val="en-US"/>
        </w:rPr>
        <w:t>Germano</w:t>
      </w:r>
      <w:proofErr w:type="spellEnd"/>
      <w:r w:rsidRPr="00EB69E9">
        <w:rPr>
          <w:lang w:val="en-US"/>
        </w:rPr>
        <w:t xml:space="preserve"> G, et al. Determinants of risk and its temporal variation in patients with normal stress myocardial perfusion scans. J Am </w:t>
      </w:r>
      <w:proofErr w:type="spellStart"/>
      <w:r w:rsidRPr="00EB69E9">
        <w:rPr>
          <w:lang w:val="en-US"/>
        </w:rPr>
        <w:t>Coll</w:t>
      </w:r>
      <w:proofErr w:type="spellEnd"/>
      <w:r w:rsidRPr="00EB69E9">
        <w:rPr>
          <w:lang w:val="en-US"/>
        </w:rPr>
        <w:t xml:space="preserve"> </w:t>
      </w:r>
      <w:proofErr w:type="spellStart"/>
      <w:r w:rsidRPr="00EB69E9">
        <w:rPr>
          <w:lang w:val="en-US"/>
        </w:rPr>
        <w:t>Cardiol</w:t>
      </w:r>
      <w:proofErr w:type="spellEnd"/>
      <w:r w:rsidRPr="00EB69E9">
        <w:rPr>
          <w:lang w:val="en-US"/>
        </w:rPr>
        <w:t xml:space="preserve"> </w:t>
      </w:r>
      <w:r w:rsidRPr="00AE477F">
        <w:rPr>
          <w:lang w:val="en-US"/>
        </w:rPr>
        <w:t xml:space="preserve">[Internet].  </w:t>
      </w:r>
      <w:r w:rsidRPr="00EB69E9">
        <w:rPr>
          <w:lang w:val="en-US"/>
        </w:rPr>
        <w:t>2003</w:t>
      </w:r>
      <w:r w:rsidRPr="00AE477F">
        <w:rPr>
          <w:lang w:val="en-US"/>
        </w:rPr>
        <w:t xml:space="preserve"> </w:t>
      </w:r>
      <w:r w:rsidRPr="00EB69E9">
        <w:rPr>
          <w:lang w:val="en-US"/>
        </w:rPr>
        <w:t xml:space="preserve"> </w:t>
      </w:r>
      <w:r w:rsidRPr="00AE477F">
        <w:rPr>
          <w:lang w:val="en-US"/>
        </w:rPr>
        <w:t xml:space="preserve">[cited </w:t>
      </w:r>
      <w:r w:rsidRPr="00EB69E9">
        <w:rPr>
          <w:lang w:val="en-US"/>
        </w:rPr>
        <w:t>2019</w:t>
      </w:r>
      <w:r w:rsidRPr="00AE477F">
        <w:rPr>
          <w:lang w:val="en-US"/>
        </w:rPr>
        <w:t xml:space="preserve"> </w:t>
      </w:r>
      <w:r w:rsidRPr="00EB69E9">
        <w:rPr>
          <w:lang w:val="en-US"/>
        </w:rPr>
        <w:t xml:space="preserve">Feb12];41:1329-40. </w:t>
      </w:r>
      <w:r w:rsidRPr="00AE477F">
        <w:rPr>
          <w:lang w:val="en-US"/>
        </w:rPr>
        <w:t xml:space="preserve"> Available from:  </w:t>
      </w:r>
      <w:hyperlink r:id="rId38" w:history="1">
        <w:r w:rsidRPr="00EB69E9">
          <w:rPr>
            <w:rStyle w:val="Hipervnculo"/>
            <w:lang w:val="en-US"/>
          </w:rPr>
          <w:t>http://www.semanticscholar.org</w:t>
        </w:r>
      </w:hyperlink>
      <w:r w:rsidRPr="00AE477F">
        <w:rPr>
          <w:lang w:val="en-US"/>
        </w:rPr>
        <w:t xml:space="preserve">. </w:t>
      </w:r>
    </w:p>
    <w:p w:rsidR="008E3FBC" w:rsidRPr="00AE477F" w:rsidRDefault="008E3FBC" w:rsidP="008E3FBC">
      <w:pPr>
        <w:spacing w:before="120" w:after="120" w:line="360" w:lineRule="auto"/>
      </w:pPr>
      <w:r>
        <w:t>33</w:t>
      </w:r>
      <w:r w:rsidRPr="00AE477F">
        <w:t xml:space="preserve">. </w:t>
      </w:r>
      <w:proofErr w:type="spellStart"/>
      <w:r w:rsidRPr="00AE477F">
        <w:t>Jaimovich</w:t>
      </w:r>
      <w:proofErr w:type="spellEnd"/>
      <w:r w:rsidRPr="00AE477F">
        <w:t xml:space="preserve"> R. </w:t>
      </w:r>
      <w:r w:rsidR="003D121B" w:rsidRPr="00AE477F">
        <w:t>Cardiología</w:t>
      </w:r>
      <w:r w:rsidRPr="00AE477F">
        <w:t xml:space="preserve"> Nuclear: Nuevos desarrollos y </w:t>
      </w:r>
      <w:r w:rsidR="003D121B" w:rsidRPr="00AE477F">
        <w:t>perspectivas</w:t>
      </w:r>
      <w:r w:rsidRPr="00AE477F">
        <w:t xml:space="preserve"> futuras. </w:t>
      </w:r>
      <w:proofErr w:type="spellStart"/>
      <w:r w:rsidRPr="00AE477F">
        <w:t>Rev</w:t>
      </w:r>
      <w:proofErr w:type="spellEnd"/>
      <w:r w:rsidRPr="00AE477F">
        <w:t xml:space="preserve"> </w:t>
      </w:r>
      <w:proofErr w:type="spellStart"/>
      <w:r w:rsidRPr="00AE477F">
        <w:t>Med</w:t>
      </w:r>
      <w:proofErr w:type="spellEnd"/>
      <w:r w:rsidRPr="00AE477F">
        <w:t xml:space="preserve"> </w:t>
      </w:r>
      <w:proofErr w:type="spellStart"/>
      <w:r w:rsidRPr="00AE477F">
        <w:t>Clin</w:t>
      </w:r>
      <w:proofErr w:type="spellEnd"/>
      <w:r w:rsidRPr="00AE477F">
        <w:t xml:space="preserve"> Condes [Internet].  2018 Ene [citado 18 Jul 2019];29(1): 54-60. Disponible en:  </w:t>
      </w:r>
      <w:hyperlink r:id="rId39" w:history="1">
        <w:r w:rsidRPr="00AE477F">
          <w:rPr>
            <w:rStyle w:val="Hipervnculo"/>
          </w:rPr>
          <w:t>http://doi.org/10.1016/j.rmclc.2017.12.004</w:t>
        </w:r>
      </w:hyperlink>
      <w:r w:rsidRPr="00AE477F">
        <w:t xml:space="preserve">. </w:t>
      </w:r>
    </w:p>
    <w:p w:rsidR="008E3FBC" w:rsidRPr="00AE477F" w:rsidRDefault="008E3FBC" w:rsidP="008E3FBC">
      <w:pPr>
        <w:spacing w:before="120" w:after="120" w:line="360" w:lineRule="auto"/>
      </w:pPr>
      <w:r>
        <w:t>34</w:t>
      </w:r>
      <w:r w:rsidRPr="00AE477F">
        <w:t xml:space="preserve">. </w:t>
      </w:r>
      <w:proofErr w:type="spellStart"/>
      <w:r w:rsidRPr="00AE477F">
        <w:t>Casáns</w:t>
      </w:r>
      <w:proofErr w:type="spellEnd"/>
      <w:r w:rsidRPr="00AE477F">
        <w:t xml:space="preserve">-Tormo I, Jurado-López J. Diagnóstico de la enfermedad coronaria mediante </w:t>
      </w:r>
      <w:proofErr w:type="spellStart"/>
      <w:r w:rsidRPr="00AE477F">
        <w:t>gated</w:t>
      </w:r>
      <w:proofErr w:type="spellEnd"/>
      <w:r w:rsidRPr="00AE477F">
        <w:t xml:space="preserve">-SPECT de perfusión miocárdica.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w:t>
      </w:r>
      <w:proofErr w:type="spellStart"/>
      <w:r w:rsidRPr="00AE477F">
        <w:t>Supl</w:t>
      </w:r>
      <w:proofErr w:type="spellEnd"/>
      <w:r w:rsidRPr="00AE477F">
        <w:t xml:space="preserve"> [Internet].  2008 [citado 11 Dic 2018];8 </w:t>
      </w:r>
      <w:proofErr w:type="spellStart"/>
      <w:r w:rsidRPr="00AE477F">
        <w:t>Supl</w:t>
      </w:r>
      <w:proofErr w:type="spellEnd"/>
      <w:r w:rsidRPr="00AE477F">
        <w:t xml:space="preserve"> B:S15-24. Disponible en:  </w:t>
      </w:r>
      <w:hyperlink r:id="rId40" w:history="1">
        <w:r w:rsidRPr="00AE477F">
          <w:rPr>
            <w:rStyle w:val="Hipervnculo"/>
          </w:rPr>
          <w:t>http://www.revespcardiol.org</w:t>
        </w:r>
      </w:hyperlink>
      <w:r w:rsidRPr="00AE477F">
        <w:t xml:space="preserve">. </w:t>
      </w:r>
    </w:p>
    <w:p w:rsidR="008E3FBC" w:rsidRPr="00AE477F" w:rsidRDefault="008E3FBC" w:rsidP="008E3FBC">
      <w:pPr>
        <w:spacing w:before="120" w:after="120" w:line="360" w:lineRule="auto"/>
      </w:pPr>
      <w:r>
        <w:t>35</w:t>
      </w:r>
      <w:r w:rsidRPr="00AE477F">
        <w:t xml:space="preserve">. Delgado C, </w:t>
      </w:r>
      <w:r w:rsidR="003D121B" w:rsidRPr="00AE477F">
        <w:t>Vázquez</w:t>
      </w:r>
      <w:r w:rsidRPr="00AE477F">
        <w:t xml:space="preserve"> M, Oca R, Vilar M, Trinidad C. Evaluación de la isquemia miocárdica con tomografía computarizada de doble fuente.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2013 </w:t>
      </w:r>
      <w:proofErr w:type="spellStart"/>
      <w:r w:rsidRPr="00AE477F">
        <w:t>Sep</w:t>
      </w:r>
      <w:proofErr w:type="spellEnd"/>
      <w:r w:rsidRPr="00AE477F">
        <w:t xml:space="preserve"> [citado 15 Oct 2018];66(11): 864-70. Disponible en:  </w:t>
      </w:r>
      <w:hyperlink r:id="rId41" w:history="1">
        <w:r w:rsidRPr="00AE477F">
          <w:rPr>
            <w:rStyle w:val="Hipervnculo"/>
          </w:rPr>
          <w:t>http://dx.doi.org/10.1016/j.recesp.2013.05.026</w:t>
        </w:r>
      </w:hyperlink>
      <w:r w:rsidRPr="00AE477F">
        <w:t>.</w:t>
      </w:r>
    </w:p>
    <w:p w:rsidR="008E3FBC" w:rsidRPr="00AE477F" w:rsidRDefault="008E3FBC" w:rsidP="008E3FBC">
      <w:pPr>
        <w:spacing w:before="120" w:after="120" w:line="360" w:lineRule="auto"/>
      </w:pPr>
      <w:r>
        <w:t>36</w:t>
      </w:r>
      <w:r w:rsidRPr="00AE477F">
        <w:t xml:space="preserve">. </w:t>
      </w:r>
      <w:proofErr w:type="spellStart"/>
      <w:r w:rsidRPr="00AE477F">
        <w:t>Shavelle.D</w:t>
      </w:r>
      <w:proofErr w:type="spellEnd"/>
      <w:r w:rsidRPr="00AE477F">
        <w:t xml:space="preserve">. Enfermedad arterial coronaria. </w:t>
      </w:r>
      <w:r w:rsidRPr="00EB69E9">
        <w:rPr>
          <w:lang w:val="en-US"/>
        </w:rPr>
        <w:t xml:space="preserve">Rev </w:t>
      </w:r>
      <w:proofErr w:type="spellStart"/>
      <w:r w:rsidRPr="00EB69E9">
        <w:rPr>
          <w:lang w:val="en-US"/>
        </w:rPr>
        <w:t>Urug</w:t>
      </w:r>
      <w:proofErr w:type="spellEnd"/>
      <w:r w:rsidRPr="00EB69E9">
        <w:rPr>
          <w:lang w:val="en-US"/>
        </w:rPr>
        <w:t xml:space="preserve"> </w:t>
      </w:r>
      <w:proofErr w:type="spellStart"/>
      <w:r w:rsidRPr="00EB69E9">
        <w:rPr>
          <w:lang w:val="en-US"/>
        </w:rPr>
        <w:t>Cardiol</w:t>
      </w:r>
      <w:proofErr w:type="spellEnd"/>
      <w:r w:rsidRPr="00EB69E9">
        <w:rPr>
          <w:lang w:val="en-US"/>
        </w:rPr>
        <w:t xml:space="preserve"> [Internet].  2016 Ago [</w:t>
      </w:r>
      <w:proofErr w:type="spellStart"/>
      <w:r w:rsidRPr="00EB69E9">
        <w:rPr>
          <w:lang w:val="en-US"/>
        </w:rPr>
        <w:t>citado</w:t>
      </w:r>
      <w:proofErr w:type="spellEnd"/>
      <w:r w:rsidRPr="00EB69E9">
        <w:rPr>
          <w:lang w:val="en-US"/>
        </w:rPr>
        <w:t xml:space="preserve"> 13 </w:t>
      </w:r>
      <w:proofErr w:type="spellStart"/>
      <w:r w:rsidRPr="00EB69E9">
        <w:rPr>
          <w:lang w:val="en-US"/>
        </w:rPr>
        <w:t>Abr</w:t>
      </w:r>
      <w:proofErr w:type="spellEnd"/>
      <w:r w:rsidRPr="00EB69E9">
        <w:rPr>
          <w:lang w:val="en-US"/>
        </w:rPr>
        <w:t xml:space="preserve"> 2019];31(2):355-67. </w:t>
      </w:r>
      <w:r w:rsidRPr="00AE477F">
        <w:t xml:space="preserve">Disponible en:  </w:t>
      </w:r>
      <w:hyperlink r:id="rId42" w:history="1">
        <w:r w:rsidRPr="00AE477F">
          <w:rPr>
            <w:rStyle w:val="Hipervnculo"/>
          </w:rPr>
          <w:t>http://www.scielo.edu.uy</w:t>
        </w:r>
      </w:hyperlink>
      <w:r w:rsidRPr="00AE477F">
        <w:t xml:space="preserve">. </w:t>
      </w:r>
    </w:p>
    <w:p w:rsidR="008E3FBC" w:rsidRDefault="008E3FBC" w:rsidP="008E3FBC">
      <w:pPr>
        <w:spacing w:after="200" w:line="360" w:lineRule="auto"/>
      </w:pPr>
      <w:r>
        <w:lastRenderedPageBreak/>
        <w:t>37</w:t>
      </w:r>
      <w:r w:rsidRPr="00AE477F">
        <w:t>. Pérez-</w:t>
      </w:r>
      <w:proofErr w:type="spellStart"/>
      <w:r w:rsidRPr="00AE477F">
        <w:t>Iruela</w:t>
      </w:r>
      <w:proofErr w:type="spellEnd"/>
      <w:r w:rsidRPr="00AE477F">
        <w:t xml:space="preserve"> J, Pastor P, Lumbreras L, Martín A, Ruiz F, Posadas A, et al. Valor diagnóstico de la perfusión miocárdica SPECT con </w:t>
      </w:r>
      <w:proofErr w:type="spellStart"/>
      <w:r w:rsidRPr="00AE477F">
        <w:t>dipiridamol</w:t>
      </w:r>
      <w:proofErr w:type="spellEnd"/>
      <w:r w:rsidRPr="00AE477F">
        <w:t xml:space="preserve"> en una población femenina. </w:t>
      </w:r>
      <w:proofErr w:type="spellStart"/>
      <w:r w:rsidRPr="00AE477F">
        <w:t>Rev</w:t>
      </w:r>
      <w:proofErr w:type="spellEnd"/>
      <w:r w:rsidRPr="00AE477F">
        <w:t xml:space="preserve"> Argent </w:t>
      </w:r>
      <w:proofErr w:type="spellStart"/>
      <w:r w:rsidRPr="00AE477F">
        <w:t>Cardiol</w:t>
      </w:r>
      <w:proofErr w:type="spellEnd"/>
      <w:r w:rsidRPr="00AE477F">
        <w:t xml:space="preserve"> [Internet].  2009 Oct  [citado 12 Nov 2018];77(5):373-79. Disponible en:  </w:t>
      </w:r>
      <w:hyperlink r:id="rId43" w:history="1">
        <w:r w:rsidRPr="00AE477F">
          <w:rPr>
            <w:rStyle w:val="Hipervnculo"/>
          </w:rPr>
          <w:t>https://www.redalyc.org/pdf/3053/305326928007.pdf</w:t>
        </w:r>
      </w:hyperlink>
      <w:r w:rsidRPr="00AE477F">
        <w:t>.</w:t>
      </w:r>
    </w:p>
    <w:p w:rsidR="008E3FBC" w:rsidRPr="00AE477F" w:rsidRDefault="008E3FBC" w:rsidP="008E3FBC">
      <w:pPr>
        <w:spacing w:after="200" w:line="360" w:lineRule="auto"/>
      </w:pPr>
      <w:r>
        <w:t>38</w:t>
      </w:r>
      <w:r w:rsidRPr="00AE477F">
        <w:t xml:space="preserve">. </w:t>
      </w:r>
      <w:proofErr w:type="spellStart"/>
      <w:r w:rsidRPr="00AE477F">
        <w:t>Peix</w:t>
      </w:r>
      <w:proofErr w:type="spellEnd"/>
      <w:r w:rsidRPr="00AE477F">
        <w:t xml:space="preserve"> AT, Chacón D, Llerena L, et al. Gammagrafía de perfusión miocárdica con tecnecio 99mTc-MIBI en el diagnóstico de la enfermedad coronaria en mujeres. </w:t>
      </w:r>
      <w:proofErr w:type="spellStart"/>
      <w:r w:rsidRPr="00AE477F">
        <w:t>Rev</w:t>
      </w:r>
      <w:proofErr w:type="spellEnd"/>
      <w:r w:rsidRPr="00AE477F">
        <w:t xml:space="preserve"> </w:t>
      </w:r>
      <w:proofErr w:type="spellStart"/>
      <w:r w:rsidRPr="00AE477F">
        <w:t>Cub</w:t>
      </w:r>
      <w:proofErr w:type="spellEnd"/>
      <w:r w:rsidRPr="00AE477F">
        <w:t xml:space="preserve"> </w:t>
      </w:r>
      <w:proofErr w:type="spellStart"/>
      <w:r w:rsidRPr="00AE477F">
        <w:t>Med</w:t>
      </w:r>
      <w:proofErr w:type="spellEnd"/>
      <w:r w:rsidRPr="00AE477F">
        <w:t xml:space="preserve"> [Internet].  2006 Jun [citado 16 Abr 2019];45(2). Disponible en:  </w:t>
      </w:r>
      <w:hyperlink r:id="rId44" w:history="1">
        <w:r w:rsidRPr="00AE477F">
          <w:rPr>
            <w:rStyle w:val="Hipervnculo"/>
          </w:rPr>
          <w:t>http://scielo.sld.cu/scielo.Php?Script=sci_arttext&amp;pid=S003475232006000200004&amp;lng=es&amp;nrm=iso</w:t>
        </w:r>
      </w:hyperlink>
      <w:r w:rsidRPr="00AE477F">
        <w:t xml:space="preserve">. </w:t>
      </w:r>
    </w:p>
    <w:p w:rsidR="008E3FBC" w:rsidRPr="00AE477F" w:rsidRDefault="008E3FBC" w:rsidP="008E3FBC">
      <w:pPr>
        <w:spacing w:after="200" w:line="360" w:lineRule="auto"/>
      </w:pPr>
      <w:r>
        <w:t>39</w:t>
      </w:r>
      <w:r w:rsidRPr="00AE477F">
        <w:t xml:space="preserve">. </w:t>
      </w:r>
      <w:proofErr w:type="spellStart"/>
      <w:r w:rsidRPr="00AE477F">
        <w:t>Candell</w:t>
      </w:r>
      <w:proofErr w:type="spellEnd"/>
      <w:r w:rsidRPr="00AE477F">
        <w:t xml:space="preserve">-Riera J, Fernández C. Prevalencia y significado </w:t>
      </w:r>
      <w:proofErr w:type="spellStart"/>
      <w:r w:rsidRPr="00AE477F">
        <w:t>angiográfico</w:t>
      </w:r>
      <w:proofErr w:type="spellEnd"/>
      <w:r w:rsidRPr="00AE477F">
        <w:t xml:space="preserve"> de la SPECT de perfusión miocárdica normal con electrocardiograma de esfuerzo positivo. </w:t>
      </w:r>
      <w:proofErr w:type="spellStart"/>
      <w:r w:rsidRPr="00AE477F">
        <w:t>Rev</w:t>
      </w:r>
      <w:proofErr w:type="spellEnd"/>
      <w:r w:rsidRPr="00AE477F">
        <w:t xml:space="preserve"> </w:t>
      </w:r>
      <w:proofErr w:type="spellStart"/>
      <w:r w:rsidRPr="00AE477F">
        <w:t>Esp</w:t>
      </w:r>
      <w:proofErr w:type="spellEnd"/>
      <w:r w:rsidRPr="00AE477F">
        <w:t xml:space="preserve"> </w:t>
      </w:r>
      <w:proofErr w:type="spellStart"/>
      <w:r w:rsidRPr="00AE477F">
        <w:t>Cardiol</w:t>
      </w:r>
      <w:proofErr w:type="spellEnd"/>
      <w:r w:rsidRPr="00AE477F">
        <w:t xml:space="preserve"> [Internet].  2004 Feb  [citado 11 Dic 2018];57(9):894-7. Disponible en:  </w:t>
      </w:r>
      <w:hyperlink r:id="rId45" w:history="1">
        <w:r w:rsidRPr="00AE477F">
          <w:rPr>
            <w:rStyle w:val="Hipervnculo"/>
          </w:rPr>
          <w:t>http://www.revespcardiol.org</w:t>
        </w:r>
      </w:hyperlink>
      <w:r w:rsidRPr="00AE477F">
        <w:t xml:space="preserve">.  </w:t>
      </w:r>
    </w:p>
    <w:p w:rsidR="008E3FBC" w:rsidRPr="00AE477F" w:rsidRDefault="008E3FBC" w:rsidP="008E3FBC">
      <w:pPr>
        <w:spacing w:after="200" w:line="360" w:lineRule="auto"/>
      </w:pPr>
      <w:r>
        <w:t>40</w:t>
      </w:r>
      <w:r w:rsidRPr="00AE477F">
        <w:t xml:space="preserve">. </w:t>
      </w:r>
      <w:proofErr w:type="spellStart"/>
      <w:r w:rsidRPr="00AE477F">
        <w:t>Beller</w:t>
      </w:r>
      <w:proofErr w:type="spellEnd"/>
      <w:r w:rsidRPr="00AE477F">
        <w:t xml:space="preserve"> G. Valor clínico de los estudios de perfusión miocárdica en la enfermedad coronaria. </w:t>
      </w:r>
      <w:proofErr w:type="spellStart"/>
      <w:r w:rsidRPr="00AE477F">
        <w:t>Rev</w:t>
      </w:r>
      <w:proofErr w:type="spellEnd"/>
      <w:r w:rsidRPr="00AE477F">
        <w:t xml:space="preserve"> </w:t>
      </w:r>
      <w:proofErr w:type="spellStart"/>
      <w:r w:rsidRPr="00AE477F">
        <w:t>Urug</w:t>
      </w:r>
      <w:proofErr w:type="spellEnd"/>
      <w:r w:rsidRPr="00AE477F">
        <w:t xml:space="preserve"> </w:t>
      </w:r>
      <w:proofErr w:type="spellStart"/>
      <w:r w:rsidRPr="00AE477F">
        <w:t>Cardiol</w:t>
      </w:r>
      <w:proofErr w:type="spellEnd"/>
      <w:r w:rsidRPr="00AE477F">
        <w:t xml:space="preserve"> [Internet].  2004 Nov  [citado 11 Dic 2019];19(2-3):135-51. Disponible en: </w:t>
      </w:r>
      <w:hyperlink r:id="rId46" w:history="1">
        <w:r w:rsidRPr="00AE477F">
          <w:rPr>
            <w:rStyle w:val="Hipervnculo"/>
          </w:rPr>
          <w:t>https://www.researchgate.net/publication/237705688</w:t>
        </w:r>
      </w:hyperlink>
      <w:r w:rsidRPr="00AE477F">
        <w:t xml:space="preserve">. </w:t>
      </w:r>
    </w:p>
    <w:p w:rsidR="008E3FBC" w:rsidRPr="00AE477F" w:rsidRDefault="008E3FBC" w:rsidP="008E3FBC">
      <w:pPr>
        <w:spacing w:before="120" w:after="120" w:line="360" w:lineRule="auto"/>
        <w:rPr>
          <w:lang w:val="en-US"/>
        </w:rPr>
      </w:pPr>
      <w:r w:rsidRPr="00AE477F">
        <w:t xml:space="preserve"> </w:t>
      </w:r>
      <w:r>
        <w:rPr>
          <w:lang w:val="en-US"/>
        </w:rPr>
        <w:t>41</w:t>
      </w:r>
      <w:r w:rsidRPr="00EB69E9">
        <w:rPr>
          <w:lang w:val="en-US"/>
        </w:rPr>
        <w:t xml:space="preserve">. Daly P, </w:t>
      </w:r>
      <w:proofErr w:type="spellStart"/>
      <w:r w:rsidRPr="00EB69E9">
        <w:rPr>
          <w:lang w:val="en-US"/>
        </w:rPr>
        <w:t>Kayse</w:t>
      </w:r>
      <w:proofErr w:type="spellEnd"/>
      <w:r w:rsidRPr="00EB69E9">
        <w:rPr>
          <w:lang w:val="en-US"/>
        </w:rPr>
        <w:t xml:space="preserve"> R</w:t>
      </w:r>
      <w:r>
        <w:rPr>
          <w:lang w:val="en-US"/>
        </w:rPr>
        <w:t>,</w:t>
      </w:r>
      <w:r w:rsidRPr="00EB69E9">
        <w:rPr>
          <w:lang w:val="en-US"/>
        </w:rPr>
        <w:t xml:space="preserve"> et al.  Feasibility and safety of exercise stress testing using an anti-gravity treadmill with Tc-99m </w:t>
      </w:r>
      <w:proofErr w:type="spellStart"/>
      <w:r w:rsidRPr="00EB69E9">
        <w:rPr>
          <w:lang w:val="en-US"/>
        </w:rPr>
        <w:t>tetrofosmin</w:t>
      </w:r>
      <w:proofErr w:type="spellEnd"/>
      <w:r w:rsidRPr="00EB69E9">
        <w:rPr>
          <w:lang w:val="en-US"/>
        </w:rPr>
        <w:t xml:space="preserve"> single-photon emission computed tomography (SPECT) myocardial perfusion imaging: A pilot non-randomized controlled study. J </w:t>
      </w:r>
      <w:proofErr w:type="spellStart"/>
      <w:r w:rsidRPr="00EB69E9">
        <w:rPr>
          <w:lang w:val="en-US"/>
        </w:rPr>
        <w:t>Nucl</w:t>
      </w:r>
      <w:proofErr w:type="spellEnd"/>
      <w:r w:rsidRPr="00EB69E9">
        <w:rPr>
          <w:lang w:val="en-US"/>
        </w:rPr>
        <w:t xml:space="preserve"> </w:t>
      </w:r>
      <w:proofErr w:type="spellStart"/>
      <w:r w:rsidRPr="00EB69E9">
        <w:rPr>
          <w:lang w:val="en-US"/>
        </w:rPr>
        <w:t>Cardiol</w:t>
      </w:r>
      <w:proofErr w:type="spellEnd"/>
      <w:r w:rsidRPr="00AE477F">
        <w:rPr>
          <w:lang w:val="en-US"/>
        </w:rPr>
        <w:t xml:space="preserve"> [Internet].  </w:t>
      </w:r>
      <w:r w:rsidRPr="00EB69E9">
        <w:rPr>
          <w:lang w:val="en-US"/>
        </w:rPr>
        <w:t>2018</w:t>
      </w:r>
      <w:r w:rsidRPr="00AE477F">
        <w:rPr>
          <w:lang w:val="en-US"/>
        </w:rPr>
        <w:t xml:space="preserve"> </w:t>
      </w:r>
      <w:r w:rsidRPr="00EB69E9">
        <w:rPr>
          <w:lang w:val="en-US"/>
        </w:rPr>
        <w:t xml:space="preserve">Aug </w:t>
      </w:r>
      <w:r w:rsidRPr="00AE477F">
        <w:rPr>
          <w:lang w:val="en-US"/>
        </w:rPr>
        <w:t xml:space="preserve">[cited </w:t>
      </w:r>
      <w:r w:rsidRPr="00EB69E9">
        <w:rPr>
          <w:lang w:val="en-US"/>
        </w:rPr>
        <w:t>2019</w:t>
      </w:r>
      <w:r w:rsidRPr="00AE477F">
        <w:rPr>
          <w:lang w:val="en-US"/>
        </w:rPr>
        <w:t xml:space="preserve"> </w:t>
      </w:r>
      <w:r w:rsidRPr="00EB69E9">
        <w:rPr>
          <w:lang w:val="en-US"/>
        </w:rPr>
        <w:t xml:space="preserve">Aug23];25(4):1092-97. </w:t>
      </w:r>
      <w:r w:rsidRPr="00AE477F">
        <w:rPr>
          <w:lang w:val="en-US"/>
        </w:rPr>
        <w:t xml:space="preserve"> Available from:  </w:t>
      </w:r>
      <w:hyperlink r:id="rId47" w:history="1">
        <w:r w:rsidRPr="00EB69E9">
          <w:rPr>
            <w:rStyle w:val="Hipervnculo"/>
            <w:lang w:val="en-US"/>
          </w:rPr>
          <w:t>https://link.springer.com/article/10.1007/s12350-017-1045-2</w:t>
        </w:r>
      </w:hyperlink>
      <w:r w:rsidRPr="00EB69E9">
        <w:rPr>
          <w:lang w:val="en-US"/>
        </w:rPr>
        <w:t xml:space="preserve">.  </w:t>
      </w:r>
      <w:r w:rsidRPr="00AE477F">
        <w:rPr>
          <w:rStyle w:val="articlecitationyear"/>
          <w:lang w:val="en-US"/>
        </w:rPr>
        <w:t xml:space="preserve"> </w:t>
      </w:r>
    </w:p>
    <w:p w:rsidR="008E3FBC" w:rsidRPr="00AE477F" w:rsidRDefault="008E3FBC" w:rsidP="008E3FBC">
      <w:pPr>
        <w:spacing w:after="200" w:line="360" w:lineRule="auto"/>
      </w:pPr>
      <w:r>
        <w:t>42</w:t>
      </w:r>
      <w:r w:rsidRPr="00AE477F">
        <w:t xml:space="preserve">. </w:t>
      </w:r>
      <w:proofErr w:type="spellStart"/>
      <w:r w:rsidRPr="00AE477F">
        <w:t>Murgueitio</w:t>
      </w:r>
      <w:proofErr w:type="spellEnd"/>
      <w:r w:rsidRPr="00AE477F">
        <w:t xml:space="preserve"> R, </w:t>
      </w:r>
      <w:proofErr w:type="spellStart"/>
      <w:r w:rsidRPr="00AE477F">
        <w:t>Merlano</w:t>
      </w:r>
      <w:proofErr w:type="spellEnd"/>
      <w:r w:rsidRPr="00AE477F">
        <w:t xml:space="preserve"> S, </w:t>
      </w:r>
      <w:proofErr w:type="spellStart"/>
      <w:r w:rsidRPr="00AE477F">
        <w:t>Rodriguez</w:t>
      </w:r>
      <w:proofErr w:type="spellEnd"/>
      <w:r w:rsidRPr="00AE477F">
        <w:t xml:space="preserve"> E, et al. Consideraciones sobre el valor pronóstico de los estudios de perfusión miocárdica. </w:t>
      </w:r>
      <w:proofErr w:type="spellStart"/>
      <w:r w:rsidRPr="00AE477F">
        <w:t>Rev</w:t>
      </w:r>
      <w:proofErr w:type="spellEnd"/>
      <w:r w:rsidRPr="00AE477F">
        <w:t xml:space="preserve"> </w:t>
      </w:r>
      <w:proofErr w:type="spellStart"/>
      <w:r w:rsidRPr="00AE477F">
        <w:t>Colomb</w:t>
      </w:r>
      <w:proofErr w:type="spellEnd"/>
      <w:r w:rsidRPr="00AE477F">
        <w:t xml:space="preserve"> </w:t>
      </w:r>
      <w:proofErr w:type="spellStart"/>
      <w:r w:rsidRPr="00AE477F">
        <w:t>Cardiol</w:t>
      </w:r>
      <w:proofErr w:type="spellEnd"/>
      <w:r w:rsidRPr="00AE477F">
        <w:t xml:space="preserve"> [Internet].  2014 Abr [citado 16 Abr 2019];21(2): 95-7. Disponible en:  www.elsevier.es/revcolcar.</w:t>
      </w:r>
    </w:p>
    <w:p w:rsidR="008E3FBC" w:rsidRPr="00AE477F" w:rsidRDefault="008E3FBC" w:rsidP="008E3FBC">
      <w:pPr>
        <w:spacing w:after="200" w:line="360" w:lineRule="auto"/>
        <w:rPr>
          <w:rStyle w:val="Hipervnculo"/>
        </w:rPr>
      </w:pPr>
      <w:r>
        <w:rPr>
          <w:lang w:val="en-US"/>
        </w:rPr>
        <w:lastRenderedPageBreak/>
        <w:t>43</w:t>
      </w:r>
      <w:r w:rsidRPr="00EB69E9">
        <w:rPr>
          <w:lang w:val="en-US"/>
        </w:rPr>
        <w:t xml:space="preserve">. </w:t>
      </w:r>
      <w:r w:rsidRPr="00EB69E9">
        <w:rPr>
          <w:rStyle w:val="authorsname"/>
          <w:lang w:val="en-US"/>
        </w:rPr>
        <w:t>Romero-Farina G, </w:t>
      </w:r>
      <w:proofErr w:type="spellStart"/>
      <w:r w:rsidRPr="00EB69E9">
        <w:rPr>
          <w:rStyle w:val="authorsname"/>
          <w:lang w:val="en-US"/>
        </w:rPr>
        <w:t>Candell-Riera</w:t>
      </w:r>
      <w:proofErr w:type="spellEnd"/>
      <w:r w:rsidRPr="00EB69E9">
        <w:rPr>
          <w:rStyle w:val="authorsname"/>
          <w:lang w:val="en-US"/>
        </w:rPr>
        <w:t xml:space="preserve"> J. </w:t>
      </w:r>
      <w:r w:rsidRPr="00EB69E9">
        <w:rPr>
          <w:lang w:val="en-US"/>
        </w:rPr>
        <w:t xml:space="preserve">Warranty periods for normal myocardial perfusion stress SPECT. </w:t>
      </w:r>
      <w:hyperlink r:id="rId48" w:tooltip="Journal of Nuclear Cardiology" w:history="1">
        <w:r w:rsidRPr="00EB69E9">
          <w:rPr>
            <w:rStyle w:val="journaltitle"/>
          </w:rPr>
          <w:t>J</w:t>
        </w:r>
      </w:hyperlink>
      <w:r w:rsidRPr="00EB69E9">
        <w:rPr>
          <w:rStyle w:val="journaltitle"/>
        </w:rPr>
        <w:t xml:space="preserve"> </w:t>
      </w:r>
      <w:proofErr w:type="spellStart"/>
      <w:r w:rsidRPr="00EB69E9">
        <w:rPr>
          <w:rStyle w:val="journaltitle"/>
        </w:rPr>
        <w:t>Nucl</w:t>
      </w:r>
      <w:proofErr w:type="spellEnd"/>
      <w:r w:rsidRPr="00EB69E9">
        <w:rPr>
          <w:rStyle w:val="journaltitle"/>
        </w:rPr>
        <w:t xml:space="preserve"> </w:t>
      </w:r>
      <w:proofErr w:type="spellStart"/>
      <w:r w:rsidRPr="00EB69E9">
        <w:rPr>
          <w:rStyle w:val="journaltitle"/>
        </w:rPr>
        <w:t>Cardiol</w:t>
      </w:r>
      <w:proofErr w:type="spellEnd"/>
      <w:r w:rsidRPr="00EB69E9">
        <w:rPr>
          <w:rStyle w:val="journaltitle"/>
        </w:rPr>
        <w:t xml:space="preserve"> </w:t>
      </w:r>
      <w:r w:rsidRPr="00AE477F">
        <w:t xml:space="preserve">[Internet].  2015 Feb [citado 2019 </w:t>
      </w:r>
      <w:proofErr w:type="spellStart"/>
      <w:r w:rsidRPr="00AE477F">
        <w:t>Apr</w:t>
      </w:r>
      <w:proofErr w:type="spellEnd"/>
      <w:r w:rsidRPr="00AE477F">
        <w:t xml:space="preserve"> 16];22(1): 44-54. Disponible en:  </w:t>
      </w:r>
      <w:hyperlink r:id="rId49" w:history="1">
        <w:r w:rsidRPr="00AE477F">
          <w:rPr>
            <w:rStyle w:val="Hipervnculo"/>
          </w:rPr>
          <w:t>https://link.springer.com/article/10.1007/s12350-014-9957-6</w:t>
        </w:r>
      </w:hyperlink>
      <w:r w:rsidRPr="00AE477F">
        <w:t>.</w:t>
      </w:r>
      <w:r w:rsidRPr="00EB69E9">
        <w:rPr>
          <w:rStyle w:val="journaltitle"/>
        </w:rPr>
        <w:t xml:space="preserve"> </w:t>
      </w:r>
    </w:p>
    <w:p w:rsidR="008E3FBC" w:rsidRPr="00AE477F" w:rsidRDefault="008E3FBC" w:rsidP="008E3FBC">
      <w:pPr>
        <w:spacing w:after="200" w:line="360" w:lineRule="auto"/>
      </w:pPr>
      <w:r>
        <w:t>44</w:t>
      </w:r>
      <w:r w:rsidRPr="00AE477F">
        <w:t xml:space="preserve">. Zapata G, </w:t>
      </w:r>
      <w:proofErr w:type="spellStart"/>
      <w:r w:rsidRPr="00AE477F">
        <w:t>Lopez</w:t>
      </w:r>
      <w:proofErr w:type="spellEnd"/>
      <w:r w:rsidRPr="00AE477F">
        <w:t xml:space="preserve"> J, Hominal M, </w:t>
      </w:r>
      <w:proofErr w:type="spellStart"/>
      <w:r w:rsidRPr="00AE477F">
        <w:t>Candell</w:t>
      </w:r>
      <w:proofErr w:type="spellEnd"/>
      <w:r w:rsidRPr="00AE477F">
        <w:t xml:space="preserve">-Riera J. Valor pronóstico del tamaño del infarto de miocardio cuantificado mediante SPECT gatillada. </w:t>
      </w:r>
      <w:proofErr w:type="spellStart"/>
      <w:r w:rsidRPr="00AE477F">
        <w:t>Rev</w:t>
      </w:r>
      <w:proofErr w:type="spellEnd"/>
      <w:r w:rsidRPr="00AE477F">
        <w:t xml:space="preserve"> Argent </w:t>
      </w:r>
      <w:proofErr w:type="spellStart"/>
      <w:r w:rsidRPr="00AE477F">
        <w:t>Cardiol</w:t>
      </w:r>
      <w:proofErr w:type="spellEnd"/>
      <w:r w:rsidRPr="00AE477F">
        <w:t xml:space="preserve"> [Internet].  2015 </w:t>
      </w:r>
      <w:proofErr w:type="spellStart"/>
      <w:r w:rsidRPr="00AE477F">
        <w:t>Sep</w:t>
      </w:r>
      <w:proofErr w:type="spellEnd"/>
      <w:r w:rsidRPr="00AE477F">
        <w:t xml:space="preserve">  [citado 14 Nov 2018];83(6):543-48. Disponible en:  </w:t>
      </w:r>
      <w:hyperlink r:id="rId50" w:history="1">
        <w:r w:rsidRPr="00AE477F">
          <w:rPr>
            <w:rStyle w:val="Hipervnculo"/>
          </w:rPr>
          <w:t>https://dialnet.unirioja.es/servlet/articulo?codigo=5329672</w:t>
        </w:r>
      </w:hyperlink>
      <w:r w:rsidRPr="00AE477F">
        <w:t>.</w:t>
      </w:r>
    </w:p>
    <w:p w:rsidR="008E3FBC" w:rsidRPr="00597D7E" w:rsidRDefault="00597D7E" w:rsidP="00597D7E">
      <w:pPr>
        <w:spacing w:after="200" w:line="360" w:lineRule="auto"/>
      </w:pPr>
      <w:r>
        <w:t xml:space="preserve"> </w:t>
      </w:r>
      <w:r w:rsidR="00996981">
        <w:rPr>
          <w:lang w:val="en-US"/>
        </w:rPr>
        <w:t>45</w:t>
      </w:r>
      <w:r w:rsidR="008E3FBC" w:rsidRPr="00EB69E9">
        <w:rPr>
          <w:lang w:val="en-US"/>
        </w:rPr>
        <w:t xml:space="preserve">. </w:t>
      </w:r>
      <w:proofErr w:type="spellStart"/>
      <w:r w:rsidR="008E3FBC" w:rsidRPr="00EB69E9">
        <w:rPr>
          <w:lang w:val="en-US"/>
        </w:rPr>
        <w:t>Partington</w:t>
      </w:r>
      <w:proofErr w:type="spellEnd"/>
      <w:r w:rsidR="008E3FBC" w:rsidRPr="00EB69E9">
        <w:rPr>
          <w:lang w:val="en-US"/>
        </w:rPr>
        <w:t xml:space="preserve"> S, </w:t>
      </w:r>
      <w:proofErr w:type="spellStart"/>
      <w:r w:rsidR="008E3FBC" w:rsidRPr="00EB69E9">
        <w:rPr>
          <w:lang w:val="en-US"/>
        </w:rPr>
        <w:t>Kwong</w:t>
      </w:r>
      <w:proofErr w:type="spellEnd"/>
      <w:r w:rsidR="008E3FBC" w:rsidRPr="00EB69E9">
        <w:rPr>
          <w:lang w:val="en-US"/>
        </w:rPr>
        <w:t xml:space="preserve"> R, </w:t>
      </w:r>
      <w:proofErr w:type="spellStart"/>
      <w:r w:rsidR="008E3FBC" w:rsidRPr="00EB69E9">
        <w:rPr>
          <w:lang w:val="en-US"/>
        </w:rPr>
        <w:t>Dorbala</w:t>
      </w:r>
      <w:proofErr w:type="spellEnd"/>
      <w:r w:rsidR="008E3FBC" w:rsidRPr="00EB69E9">
        <w:rPr>
          <w:lang w:val="en-US"/>
        </w:rPr>
        <w:t xml:space="preserve"> S. Multimodality imaging in the assessment of myocardial viability. Heart Fail Rev </w:t>
      </w:r>
      <w:r w:rsidR="008E3FBC" w:rsidRPr="00AE477F">
        <w:rPr>
          <w:lang w:val="en-US"/>
        </w:rPr>
        <w:t xml:space="preserve">[Internet].  </w:t>
      </w:r>
      <w:r w:rsidR="008E3FBC" w:rsidRPr="00EB69E9">
        <w:rPr>
          <w:lang w:val="en-US"/>
        </w:rPr>
        <w:t>2011</w:t>
      </w:r>
      <w:r w:rsidR="008E3FBC" w:rsidRPr="00AE477F">
        <w:rPr>
          <w:lang w:val="en-US"/>
        </w:rPr>
        <w:t xml:space="preserve"> </w:t>
      </w:r>
      <w:r w:rsidR="008E3FBC" w:rsidRPr="00EB69E9">
        <w:rPr>
          <w:lang w:val="en-US"/>
        </w:rPr>
        <w:t xml:space="preserve">Nov </w:t>
      </w:r>
      <w:r w:rsidR="008E3FBC" w:rsidRPr="00AE477F">
        <w:rPr>
          <w:lang w:val="en-US"/>
        </w:rPr>
        <w:t xml:space="preserve">[cited </w:t>
      </w:r>
      <w:r w:rsidR="008E3FBC" w:rsidRPr="00EB69E9">
        <w:rPr>
          <w:lang w:val="en-US"/>
        </w:rPr>
        <w:t>2018</w:t>
      </w:r>
      <w:r w:rsidR="008E3FBC" w:rsidRPr="00AE477F">
        <w:rPr>
          <w:lang w:val="en-US"/>
        </w:rPr>
        <w:t xml:space="preserve"> </w:t>
      </w:r>
      <w:r w:rsidR="008E3FBC">
        <w:rPr>
          <w:lang w:val="en-US"/>
        </w:rPr>
        <w:t>Dec11];</w:t>
      </w:r>
      <w:r w:rsidR="008E3FBC" w:rsidRPr="00EB69E9">
        <w:rPr>
          <w:lang w:val="en-US"/>
        </w:rPr>
        <w:t xml:space="preserve">16:381-95. </w:t>
      </w:r>
      <w:r w:rsidR="008E3FBC" w:rsidRPr="00AE477F">
        <w:rPr>
          <w:lang w:val="en-US"/>
        </w:rPr>
        <w:t xml:space="preserve"> Available from:  </w:t>
      </w:r>
      <w:hyperlink r:id="rId51" w:history="1">
        <w:r w:rsidR="008E3FBC" w:rsidRPr="00AE477F">
          <w:rPr>
            <w:rStyle w:val="Hipervnculo"/>
            <w:lang w:val="en-US"/>
          </w:rPr>
          <w:t>https://link.springer.com/article/10.1007/s10741-010-9201-7</w:t>
        </w:r>
      </w:hyperlink>
      <w:r w:rsidR="008E3FBC" w:rsidRPr="00AE477F">
        <w:rPr>
          <w:lang w:val="en-US"/>
        </w:rPr>
        <w:t xml:space="preserve">. </w:t>
      </w:r>
    </w:p>
    <w:p w:rsidR="008E3FBC" w:rsidRPr="00FD11C0" w:rsidRDefault="008E3FBC" w:rsidP="008E3FBC">
      <w:pPr>
        <w:spacing w:before="120" w:after="120" w:line="360" w:lineRule="auto"/>
      </w:pPr>
      <w:r w:rsidRPr="00EB69E9">
        <w:rPr>
          <w:lang w:val="en-US"/>
        </w:rPr>
        <w:t xml:space="preserve"> </w:t>
      </w:r>
      <w:r w:rsidR="00996981">
        <w:t>46</w:t>
      </w:r>
      <w:r>
        <w:t xml:space="preserve">. </w:t>
      </w:r>
      <w:r w:rsidRPr="00FD11C0">
        <w:t>Romero-</w:t>
      </w:r>
      <w:proofErr w:type="spellStart"/>
      <w:r w:rsidRPr="00FD11C0">
        <w:t>Farina</w:t>
      </w:r>
      <w:proofErr w:type="spellEnd"/>
      <w:r w:rsidRPr="00FD11C0">
        <w:t xml:space="preserve"> G, </w:t>
      </w:r>
      <w:proofErr w:type="spellStart"/>
      <w:r w:rsidRPr="00FD11C0">
        <w:t>Candell</w:t>
      </w:r>
      <w:proofErr w:type="spellEnd"/>
      <w:r w:rsidRPr="00FD11C0">
        <w:t>-Riera J, Aguadé-</w:t>
      </w:r>
      <w:proofErr w:type="spellStart"/>
      <w:r w:rsidRPr="00FD11C0">
        <w:t>Bruix</w:t>
      </w:r>
      <w:proofErr w:type="spellEnd"/>
      <w:r w:rsidRPr="00FD11C0">
        <w:t xml:space="preserve"> S, Castell-</w:t>
      </w:r>
      <w:proofErr w:type="spellStart"/>
      <w:r w:rsidRPr="00FD11C0">
        <w:t>Conesa</w:t>
      </w:r>
      <w:proofErr w:type="spellEnd"/>
      <w:r w:rsidRPr="00FD11C0">
        <w:t xml:space="preserve"> J, García-Dorado D, et al. Impacto de la </w:t>
      </w:r>
      <w:proofErr w:type="spellStart"/>
      <w:r w:rsidRPr="00FD11C0">
        <w:t>gated</w:t>
      </w:r>
      <w:proofErr w:type="spellEnd"/>
      <w:r w:rsidRPr="00FD11C0">
        <w:t xml:space="preserve">-SPECT de perfusión miocárdica en la indicación de una </w:t>
      </w:r>
      <w:proofErr w:type="spellStart"/>
      <w:r w:rsidRPr="00FD11C0">
        <w:t>coronariografía</w:t>
      </w:r>
      <w:proofErr w:type="spellEnd"/>
      <w:r w:rsidRPr="00FD11C0">
        <w:t xml:space="preserve"> en pacientes con disfunción ventricular izquierda de origen isquémico. </w:t>
      </w:r>
      <w:proofErr w:type="spellStart"/>
      <w:r w:rsidRPr="00FD11C0">
        <w:t>Rev</w:t>
      </w:r>
      <w:proofErr w:type="spellEnd"/>
      <w:r w:rsidRPr="00FD11C0">
        <w:t xml:space="preserve"> </w:t>
      </w:r>
      <w:proofErr w:type="spellStart"/>
      <w:r w:rsidRPr="00FD11C0">
        <w:t>Esp</w:t>
      </w:r>
      <w:proofErr w:type="spellEnd"/>
      <w:r w:rsidRPr="00FD11C0">
        <w:t xml:space="preserve"> </w:t>
      </w:r>
      <w:proofErr w:type="spellStart"/>
      <w:r w:rsidRPr="00FD11C0">
        <w:t>Med</w:t>
      </w:r>
      <w:proofErr w:type="spellEnd"/>
      <w:r w:rsidRPr="00FD11C0">
        <w:t xml:space="preserve"> </w:t>
      </w:r>
      <w:proofErr w:type="spellStart"/>
      <w:r w:rsidRPr="00FD11C0">
        <w:t>Nucl</w:t>
      </w:r>
      <w:proofErr w:type="spellEnd"/>
      <w:r w:rsidRPr="00FD11C0">
        <w:t xml:space="preserve"> [Internet].  2011 Abr  [citado 12 Feb 2019];30(3):141-46. Disponible en:  </w:t>
      </w:r>
      <w:hyperlink r:id="rId52" w:history="1">
        <w:r w:rsidRPr="00FD11C0">
          <w:rPr>
            <w:rStyle w:val="Hipervnculo"/>
          </w:rPr>
          <w:t>https://www.sciencedirect.com/science/article/pii/S0212698211000036</w:t>
        </w:r>
      </w:hyperlink>
      <w:r w:rsidRPr="00FD11C0">
        <w:rPr>
          <w:rStyle w:val="Hipervnculo"/>
        </w:rPr>
        <w:t>.</w:t>
      </w:r>
    </w:p>
    <w:p w:rsidR="008E3FBC" w:rsidRPr="00AE477F" w:rsidRDefault="00996981" w:rsidP="008E3FBC">
      <w:pPr>
        <w:spacing w:after="200" w:line="360" w:lineRule="auto"/>
      </w:pPr>
      <w:r>
        <w:t>47</w:t>
      </w:r>
      <w:r w:rsidR="00E5703E">
        <w:t>.</w:t>
      </w:r>
      <w:r w:rsidR="008E3FBC" w:rsidRPr="00AE477F">
        <w:t xml:space="preserve"> </w:t>
      </w:r>
      <w:proofErr w:type="spellStart"/>
      <w:r w:rsidR="008E3FBC" w:rsidRPr="00AE477F">
        <w:t>Hornez</w:t>
      </w:r>
      <w:proofErr w:type="spellEnd"/>
      <w:r w:rsidR="008E3FBC" w:rsidRPr="00AE477F">
        <w:t xml:space="preserve"> E, Carvajal E, Carvajal N. Prueba de perfusión </w:t>
      </w:r>
      <w:r w:rsidR="00E5703E" w:rsidRPr="00AE477F">
        <w:t>miocárdica</w:t>
      </w:r>
      <w:r w:rsidR="008E3FBC" w:rsidRPr="00AE477F">
        <w:t xml:space="preserve"> versus </w:t>
      </w:r>
      <w:proofErr w:type="spellStart"/>
      <w:r w:rsidR="008E3FBC" w:rsidRPr="00AE477F">
        <w:t>coronariografía</w:t>
      </w:r>
      <w:proofErr w:type="spellEnd"/>
      <w:r w:rsidR="008E3FBC" w:rsidRPr="00AE477F">
        <w:t xml:space="preserve"> en el diagnóstico de cardiopatía isquémica. Caja Petrolera de Salud Santa Cruz- Bolivia. </w:t>
      </w:r>
      <w:proofErr w:type="spellStart"/>
      <w:r w:rsidR="008E3FBC" w:rsidRPr="00AE477F">
        <w:t>Rev</w:t>
      </w:r>
      <w:proofErr w:type="spellEnd"/>
      <w:r w:rsidR="008E3FBC" w:rsidRPr="00AE477F">
        <w:t xml:space="preserve"> </w:t>
      </w:r>
      <w:proofErr w:type="spellStart"/>
      <w:r w:rsidR="008E3FBC" w:rsidRPr="00AE477F">
        <w:t>Cient</w:t>
      </w:r>
      <w:proofErr w:type="spellEnd"/>
      <w:r w:rsidR="008E3FBC" w:rsidRPr="00AE477F">
        <w:t xml:space="preserve"> </w:t>
      </w:r>
      <w:proofErr w:type="spellStart"/>
      <w:r w:rsidR="008E3FBC" w:rsidRPr="00AE477F">
        <w:t>Cienc</w:t>
      </w:r>
      <w:proofErr w:type="spellEnd"/>
      <w:r w:rsidR="008E3FBC" w:rsidRPr="00AE477F">
        <w:t xml:space="preserve"> </w:t>
      </w:r>
      <w:proofErr w:type="spellStart"/>
      <w:r w:rsidR="008E3FBC" w:rsidRPr="00AE477F">
        <w:t>Med</w:t>
      </w:r>
      <w:proofErr w:type="spellEnd"/>
      <w:r w:rsidR="008E3FBC" w:rsidRPr="00AE477F">
        <w:t xml:space="preserve"> [Internet].  2015 Jun [citado 11 Dic 2018];18(1):22-26. Disponible en:  </w:t>
      </w:r>
      <w:hyperlink r:id="rId53" w:history="1">
        <w:r w:rsidR="008E3FBC" w:rsidRPr="00AE477F">
          <w:rPr>
            <w:rStyle w:val="Hipervnculo"/>
          </w:rPr>
          <w:t>http://www.redalyc.org/articulo.oa?id=426041256005</w:t>
        </w:r>
      </w:hyperlink>
      <w:r w:rsidR="008E3FBC" w:rsidRPr="00AE477F">
        <w:t xml:space="preserve">. </w:t>
      </w:r>
    </w:p>
    <w:p w:rsidR="00211B04" w:rsidRPr="0095736D" w:rsidRDefault="00996981" w:rsidP="00211B04">
      <w:pPr>
        <w:spacing w:before="120" w:after="120" w:line="360" w:lineRule="auto"/>
        <w:rPr>
          <w:rFonts w:cs="Calibri"/>
        </w:rPr>
      </w:pPr>
      <w:r>
        <w:t xml:space="preserve">48.  </w:t>
      </w:r>
      <w:r w:rsidR="00211B04">
        <w:t xml:space="preserve"> Alarcón L</w:t>
      </w:r>
      <w:r w:rsidR="00211B04" w:rsidRPr="0095736D">
        <w:rPr>
          <w:rFonts w:cs="Calibri"/>
        </w:rPr>
        <w:t xml:space="preserve">, </w:t>
      </w:r>
      <w:proofErr w:type="spellStart"/>
      <w:r w:rsidR="00211B04">
        <w:t>Rau</w:t>
      </w:r>
      <w:proofErr w:type="spellEnd"/>
      <w:r w:rsidR="00211B04">
        <w:t xml:space="preserve"> M</w:t>
      </w:r>
      <w:r w:rsidR="00211B04" w:rsidRPr="0095736D">
        <w:rPr>
          <w:rFonts w:cs="Calibri"/>
        </w:rPr>
        <w:t xml:space="preserve">, </w:t>
      </w:r>
      <w:r w:rsidR="00211B04">
        <w:t>Prat H</w:t>
      </w:r>
      <w:r w:rsidR="00211B04" w:rsidRPr="0095736D">
        <w:rPr>
          <w:rFonts w:cs="Calibri"/>
        </w:rPr>
        <w:t xml:space="preserve">, </w:t>
      </w:r>
      <w:r w:rsidR="00211B04">
        <w:t>Fernández R</w:t>
      </w:r>
      <w:r w:rsidR="00211B04" w:rsidRPr="0095736D">
        <w:rPr>
          <w:rFonts w:cs="Calibri"/>
        </w:rPr>
        <w:t xml:space="preserve">, </w:t>
      </w:r>
      <w:r w:rsidR="00211B04">
        <w:t>Carmona J</w:t>
      </w:r>
      <w:r w:rsidR="00211B04" w:rsidRPr="0095736D">
        <w:rPr>
          <w:rFonts w:cs="Calibri"/>
        </w:rPr>
        <w:t xml:space="preserve">, </w:t>
      </w:r>
      <w:proofErr w:type="spellStart"/>
      <w:r w:rsidR="00211B04">
        <w:t>ZHindon</w:t>
      </w:r>
      <w:proofErr w:type="spellEnd"/>
      <w:r w:rsidR="00211B04">
        <w:t xml:space="preserve"> JP</w:t>
      </w:r>
      <w:r w:rsidR="00211B04" w:rsidRPr="0095736D">
        <w:rPr>
          <w:rFonts w:cs="Calibri"/>
        </w:rPr>
        <w:t xml:space="preserve">, et al. </w:t>
      </w:r>
      <w:r w:rsidR="00211B04" w:rsidRPr="00584873">
        <w:t>Estratificación de riesgo de muerte a mediano plazo de pacientes evaluados por enfermedad coronaria con SPECT de pe</w:t>
      </w:r>
      <w:r w:rsidR="00211B04">
        <w:t xml:space="preserve">rfusión miocárdica bajo efecto </w:t>
      </w:r>
      <w:r w:rsidR="00211B04" w:rsidRPr="00584873">
        <w:t xml:space="preserve">de </w:t>
      </w:r>
      <w:proofErr w:type="spellStart"/>
      <w:r w:rsidR="00211B04" w:rsidRPr="00584873">
        <w:t>dipiridamo</w:t>
      </w:r>
      <w:r w:rsidR="00211B04">
        <w:t>l</w:t>
      </w:r>
      <w:proofErr w:type="spellEnd"/>
      <w:r w:rsidR="00211B04">
        <w:rPr>
          <w:rFonts w:cs="Calibri"/>
        </w:rPr>
        <w:t>.</w:t>
      </w:r>
      <w:r w:rsidR="00211B04" w:rsidRPr="0095736D">
        <w:rPr>
          <w:rFonts w:cs="Calibri"/>
        </w:rPr>
        <w:t xml:space="preserve"> </w:t>
      </w:r>
      <w:proofErr w:type="spellStart"/>
      <w:r w:rsidR="00211B04">
        <w:rPr>
          <w:rFonts w:cs="Calibri"/>
        </w:rPr>
        <w:t>Rev</w:t>
      </w:r>
      <w:proofErr w:type="spellEnd"/>
      <w:r w:rsidR="00211B04">
        <w:rPr>
          <w:rFonts w:cs="Calibri"/>
        </w:rPr>
        <w:t xml:space="preserve"> </w:t>
      </w:r>
      <w:proofErr w:type="spellStart"/>
      <w:r w:rsidR="00211B04">
        <w:rPr>
          <w:rFonts w:cs="Calibri"/>
        </w:rPr>
        <w:t>Med</w:t>
      </w:r>
      <w:proofErr w:type="spellEnd"/>
      <w:r w:rsidR="00211B04">
        <w:rPr>
          <w:rFonts w:cs="Calibri"/>
        </w:rPr>
        <w:t xml:space="preserve"> Chile </w:t>
      </w:r>
      <w:r w:rsidR="00211B04" w:rsidRPr="0095736D">
        <w:rPr>
          <w:rFonts w:cs="Calibri"/>
        </w:rPr>
        <w:t xml:space="preserve">[Internet].  </w:t>
      </w:r>
      <w:r w:rsidR="00211B04">
        <w:rPr>
          <w:rFonts w:cs="Calibri"/>
        </w:rPr>
        <w:t>2018</w:t>
      </w:r>
      <w:r w:rsidR="00211B04" w:rsidRPr="0095736D">
        <w:rPr>
          <w:rFonts w:cs="Calibri"/>
        </w:rPr>
        <w:t xml:space="preserve">  [citado </w:t>
      </w:r>
      <w:r w:rsidR="00211B04">
        <w:rPr>
          <w:rFonts w:cs="Calibri"/>
        </w:rPr>
        <w:t>18</w:t>
      </w:r>
      <w:r w:rsidR="00211B04" w:rsidRPr="0095736D">
        <w:rPr>
          <w:rFonts w:cs="Calibri"/>
        </w:rPr>
        <w:t xml:space="preserve"> </w:t>
      </w:r>
      <w:r w:rsidR="00211B04">
        <w:rPr>
          <w:rFonts w:cs="Calibri"/>
        </w:rPr>
        <w:t>Feb</w:t>
      </w:r>
      <w:r w:rsidR="00211B04" w:rsidRPr="0095736D">
        <w:rPr>
          <w:rFonts w:cs="Calibri"/>
        </w:rPr>
        <w:t xml:space="preserve"> </w:t>
      </w:r>
      <w:r w:rsidR="00211B04">
        <w:rPr>
          <w:rFonts w:cs="Calibri"/>
        </w:rPr>
        <w:t>2021</w:t>
      </w:r>
      <w:r w:rsidR="00211B04" w:rsidRPr="0095736D">
        <w:rPr>
          <w:rFonts w:cs="Calibri"/>
        </w:rPr>
        <w:t>];</w:t>
      </w:r>
      <w:r w:rsidR="00211B04">
        <w:rPr>
          <w:rFonts w:cs="Calibri"/>
        </w:rPr>
        <w:t xml:space="preserve"> </w:t>
      </w:r>
      <w:r w:rsidR="00211B04" w:rsidRPr="0095736D">
        <w:rPr>
          <w:rFonts w:cs="Calibri"/>
        </w:rPr>
        <w:t>(</w:t>
      </w:r>
      <w:r w:rsidR="00211B04">
        <w:rPr>
          <w:rFonts w:cs="Calibri"/>
        </w:rPr>
        <w:t>146</w:t>
      </w:r>
      <w:r w:rsidR="00211B04" w:rsidRPr="0095736D">
        <w:rPr>
          <w:rFonts w:cs="Calibri"/>
        </w:rPr>
        <w:t>):</w:t>
      </w:r>
      <w:r w:rsidR="00211B04">
        <w:rPr>
          <w:rFonts w:cs="Calibri"/>
        </w:rPr>
        <w:t xml:space="preserve">831-39. </w:t>
      </w:r>
      <w:r w:rsidR="00211B04" w:rsidRPr="0095736D">
        <w:rPr>
          <w:rFonts w:cs="Calibri"/>
        </w:rPr>
        <w:t>Disponible en:</w:t>
      </w:r>
      <w:r w:rsidR="00211B04">
        <w:rPr>
          <w:rFonts w:cs="Calibri"/>
        </w:rPr>
        <w:t xml:space="preserve"> </w:t>
      </w:r>
      <w:r w:rsidR="00211B04" w:rsidRPr="0095736D">
        <w:rPr>
          <w:rFonts w:cs="Calibri"/>
        </w:rPr>
        <w:t xml:space="preserve"> </w:t>
      </w:r>
      <w:hyperlink r:id="rId54" w:history="1">
        <w:r w:rsidR="004B0FD8" w:rsidRPr="002145CF">
          <w:rPr>
            <w:rStyle w:val="Hipervnculo"/>
          </w:rPr>
          <w:t>https://scielo.conicyt.cl/scielo.php?script=sci_arttext&amp;pid=S0034-98872018000800831</w:t>
        </w:r>
      </w:hyperlink>
      <w:r w:rsidR="00211B04">
        <w:rPr>
          <w:rFonts w:cs="Calibri"/>
        </w:rPr>
        <w:t xml:space="preserve">. </w:t>
      </w:r>
    </w:p>
    <w:p w:rsidR="00996981" w:rsidRPr="008922B9" w:rsidRDefault="00996981" w:rsidP="00996981">
      <w:pPr>
        <w:spacing w:line="480" w:lineRule="auto"/>
        <w:sectPr w:rsidR="00996981" w:rsidRPr="008922B9" w:rsidSect="00445A00">
          <w:footerReference w:type="default" r:id="rId55"/>
          <w:endnotePr>
            <w:numFmt w:val="decimal"/>
          </w:endnotePr>
          <w:pgSz w:w="11907" w:h="16839" w:code="9"/>
          <w:pgMar w:top="1701" w:right="1701" w:bottom="1418" w:left="1985" w:header="1440" w:footer="1440" w:gutter="0"/>
          <w:pgNumType w:start="1"/>
          <w:cols w:space="720"/>
          <w:docGrid w:linePitch="254"/>
        </w:sectPr>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597D7E">
      <w:pPr>
        <w:spacing w:line="480" w:lineRule="auto"/>
        <w:ind w:left="720"/>
        <w:jc w:val="left"/>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pPr>
    </w:p>
    <w:p w:rsidR="00116D9B" w:rsidRPr="00740BE6" w:rsidRDefault="00116D9B" w:rsidP="00EF6D32">
      <w:pPr>
        <w:spacing w:line="480" w:lineRule="auto"/>
        <w:sectPr w:rsidR="00116D9B" w:rsidRPr="00740BE6" w:rsidSect="00445A00">
          <w:pgSz w:w="11907" w:h="16839" w:code="9"/>
          <w:pgMar w:top="1701" w:right="1701" w:bottom="1418" w:left="1985" w:header="1440" w:footer="1440" w:gutter="0"/>
          <w:cols w:space="720"/>
          <w:docGrid w:linePitch="254"/>
        </w:sectPr>
      </w:pPr>
    </w:p>
    <w:p w:rsidR="00597E93" w:rsidRPr="00740BE6" w:rsidRDefault="004D5F83" w:rsidP="00EF6D32">
      <w:pPr>
        <w:pStyle w:val="Ttulo1"/>
        <w:spacing w:line="480" w:lineRule="auto"/>
      </w:pPr>
      <w:bookmarkStart w:id="58" w:name="_Toc518382557"/>
      <w:r w:rsidRPr="00740BE6">
        <w:lastRenderedPageBreak/>
        <w:t>ANEXOS</w:t>
      </w:r>
      <w:bookmarkEnd w:id="58"/>
    </w:p>
    <w:p w:rsidR="00A51ACF" w:rsidRDefault="00A51ACF" w:rsidP="00A51ACF">
      <w:pPr>
        <w:spacing w:line="480" w:lineRule="auto"/>
      </w:pPr>
      <w:r w:rsidRPr="00C94D4D">
        <w:rPr>
          <w:b/>
          <w:noProof/>
          <w:u w:val="single"/>
          <w:lang w:val="es-MX" w:eastAsia="es-MX"/>
        </w:rPr>
        <mc:AlternateContent>
          <mc:Choice Requires="wps">
            <w:drawing>
              <wp:anchor distT="0" distB="0" distL="114300" distR="114300" simplePos="0" relativeHeight="251659264" behindDoc="0" locked="0" layoutInCell="1" allowOverlap="1" wp14:anchorId="2FDCC5ED" wp14:editId="43A1DA55">
                <wp:simplePos x="0" y="0"/>
                <wp:positionH relativeFrom="column">
                  <wp:posOffset>-793750</wp:posOffset>
                </wp:positionH>
                <wp:positionV relativeFrom="paragraph">
                  <wp:posOffset>352425</wp:posOffset>
                </wp:positionV>
                <wp:extent cx="6886575" cy="6734175"/>
                <wp:effectExtent l="0" t="0" r="2857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734175"/>
                        </a:xfrm>
                        <a:prstGeom prst="rect">
                          <a:avLst/>
                        </a:prstGeom>
                        <a:solidFill>
                          <a:srgbClr val="FFFFFF"/>
                        </a:solidFill>
                        <a:ln w="9525">
                          <a:solidFill>
                            <a:srgbClr val="000000"/>
                          </a:solidFill>
                          <a:miter lim="800000"/>
                          <a:headEnd/>
                          <a:tailEnd/>
                        </a:ln>
                      </wps:spPr>
                      <wps:txbx>
                        <w:txbxContent>
                          <w:p w:rsidR="00F64D78" w:rsidRPr="00A51ACF" w:rsidRDefault="00F64D78" w:rsidP="00A51ACF">
                            <w:r w:rsidRPr="00A51ACF">
                              <w:t xml:space="preserve">Servicio de Cardiología. Hospital CIMEQ.                 Fecha: </w:t>
                            </w:r>
                            <w:r w:rsidRPr="00A51ACF">
                              <w:softHyphen/>
                            </w:r>
                            <w:r w:rsidRPr="00A51ACF">
                              <w:softHyphen/>
                            </w:r>
                            <w:r w:rsidRPr="00A51ACF">
                              <w:softHyphen/>
                            </w:r>
                            <w:r w:rsidRPr="00A51ACF">
                              <w:softHyphen/>
                              <w:t>________________</w:t>
                            </w:r>
                          </w:p>
                          <w:p w:rsidR="00F64D78" w:rsidRPr="00A51ACF" w:rsidRDefault="00F64D78" w:rsidP="00A51ACF">
                            <w:r w:rsidRPr="00A51ACF">
                              <w:t>Datos generales del paciente:</w:t>
                            </w:r>
                          </w:p>
                          <w:p w:rsidR="00F64D78" w:rsidRPr="00A51ACF" w:rsidRDefault="00F64D78" w:rsidP="00A51ACF">
                            <w:r w:rsidRPr="00A51ACF">
                              <w:t>Nombre y apellidos: ____________________________________________________</w:t>
                            </w:r>
                          </w:p>
                          <w:p w:rsidR="00F64D78" w:rsidRPr="00A51ACF" w:rsidRDefault="00F64D78" w:rsidP="00A51ACF">
                            <w:r w:rsidRPr="00A51ACF">
                              <w:t>Edad: ____                                             Sexo: ___________</w:t>
                            </w:r>
                          </w:p>
                          <w:p w:rsidR="00F64D78" w:rsidRPr="00A51ACF" w:rsidRDefault="00F64D78" w:rsidP="00A51ACF">
                            <w:r w:rsidRPr="00A51ACF">
                              <w:t>Antecedentes de salud:</w:t>
                            </w:r>
                          </w:p>
                          <w:p w:rsidR="00F64D78" w:rsidRPr="00A51ACF" w:rsidRDefault="00F64D78" w:rsidP="00A51ACF">
                            <w:r w:rsidRPr="00A51ACF">
                              <w:t xml:space="preserve">HTA: ______        DM: ______       Tabaquismo: ______    </w:t>
                            </w:r>
                            <w:proofErr w:type="spellStart"/>
                            <w:r w:rsidRPr="00A51ACF">
                              <w:t>Dislipidemia</w:t>
                            </w:r>
                            <w:proofErr w:type="spellEnd"/>
                            <w:r w:rsidRPr="00A51ACF">
                              <w:t>: ______</w:t>
                            </w:r>
                          </w:p>
                          <w:p w:rsidR="00F64D78" w:rsidRPr="00A51ACF" w:rsidRDefault="00F64D78" w:rsidP="00A51ACF">
                            <w:r w:rsidRPr="00A51ACF">
                              <w:t>Peso: _______      Talla: _______     IMC: _____</w:t>
                            </w:r>
                          </w:p>
                          <w:p w:rsidR="00F64D78" w:rsidRPr="00A51ACF" w:rsidRDefault="00F64D78" w:rsidP="00A51ACF"/>
                          <w:p w:rsidR="00F64D78" w:rsidRPr="00A51ACF" w:rsidRDefault="00F64D78" w:rsidP="00A51ACF">
                            <w:r w:rsidRPr="00A51ACF">
                              <w:t>Dolor torácico:</w:t>
                            </w:r>
                          </w:p>
                          <w:p w:rsidR="00F64D78" w:rsidRPr="00A51ACF" w:rsidRDefault="00F64D78" w:rsidP="00A51ACF">
                            <w:r w:rsidRPr="00A51ACF">
                              <w:t>Típico: _______              Atípico: _________</w:t>
                            </w:r>
                          </w:p>
                          <w:p w:rsidR="00F64D78" w:rsidRPr="00A51ACF" w:rsidRDefault="00F64D78" w:rsidP="00A51ACF"/>
                          <w:p w:rsidR="00F64D78" w:rsidRPr="00A51ACF" w:rsidRDefault="00F64D78" w:rsidP="00A51ACF">
                            <w:r w:rsidRPr="00A51ACF">
                              <w:t xml:space="preserve">Prueba </w:t>
                            </w:r>
                            <w:proofErr w:type="spellStart"/>
                            <w:r w:rsidRPr="00A51ACF">
                              <w:t>ergométrica</w:t>
                            </w:r>
                            <w:proofErr w:type="spellEnd"/>
                            <w:r w:rsidRPr="00A51ACF">
                              <w:t xml:space="preserve"> previa a la GPM:</w:t>
                            </w:r>
                          </w:p>
                          <w:p w:rsidR="00F64D78" w:rsidRPr="00A51ACF" w:rsidRDefault="00F64D78" w:rsidP="00A51ACF">
                            <w:r w:rsidRPr="00A51ACF">
                              <w:t>Si: _____        No____      Causas de no realizada: ___________________</w:t>
                            </w:r>
                          </w:p>
                          <w:p w:rsidR="00F64D78" w:rsidRPr="00A51ACF" w:rsidRDefault="00F64D78" w:rsidP="00A51ACF">
                            <w:r w:rsidRPr="00A51ACF">
                              <w:t>Resultado:</w:t>
                            </w:r>
                          </w:p>
                          <w:p w:rsidR="00F64D78" w:rsidRPr="00A51ACF" w:rsidRDefault="00F64D78" w:rsidP="00A51ACF">
                            <w:r w:rsidRPr="00A51ACF">
                              <w:t>Positivo:                         Negativo:             Dudoso (no concluyente):</w:t>
                            </w:r>
                          </w:p>
                          <w:p w:rsidR="00F64D78" w:rsidRPr="00A51ACF" w:rsidRDefault="00F64D78" w:rsidP="00A51ACF"/>
                          <w:p w:rsidR="00F64D78" w:rsidRPr="00A51ACF" w:rsidRDefault="00F64D78" w:rsidP="00A51ACF">
                            <w:r w:rsidRPr="00A51ACF">
                              <w:t>Tipo de protocolo:</w:t>
                            </w:r>
                          </w:p>
                          <w:p w:rsidR="00F64D78" w:rsidRDefault="00F64D78" w:rsidP="00A51ACF">
                            <w:r w:rsidRPr="00A51ACF">
                              <w:t xml:space="preserve">Detección de isquemia: ____ </w:t>
                            </w:r>
                            <w:r>
                              <w:t xml:space="preserve"> </w:t>
                            </w:r>
                          </w:p>
                          <w:p w:rsidR="00F64D78" w:rsidRPr="00A51ACF" w:rsidRDefault="00F64D78" w:rsidP="00A51ACF"/>
                          <w:p w:rsidR="00F64D78" w:rsidRPr="00A51ACF" w:rsidRDefault="00F64D78" w:rsidP="00A51ACF">
                            <w:r w:rsidRPr="00A51ACF">
                              <w:t>Tipo de estrés:</w:t>
                            </w:r>
                          </w:p>
                          <w:p w:rsidR="00F64D78" w:rsidRDefault="00F64D78" w:rsidP="00A51ACF">
                            <w:r w:rsidRPr="00A51ACF">
                              <w:t>Físico: ____________</w:t>
                            </w:r>
                            <w:r>
                              <w:t xml:space="preserve">                      </w:t>
                            </w:r>
                            <w:r w:rsidRPr="00A51ACF">
                              <w:t xml:space="preserve"> Farmacológico____ </w:t>
                            </w:r>
                            <w:r>
                              <w:t xml:space="preserve">         </w:t>
                            </w:r>
                          </w:p>
                          <w:p w:rsidR="00F64D78" w:rsidRDefault="00F64D78" w:rsidP="00A51ACF">
                            <w:r>
                              <w:t xml:space="preserve"> </w:t>
                            </w:r>
                          </w:p>
                          <w:p w:rsidR="00F64D78" w:rsidRDefault="00F64D78" w:rsidP="00A51ACF">
                            <w:r>
                              <w:t>PM:</w:t>
                            </w:r>
                          </w:p>
                          <w:p w:rsidR="00F64D78" w:rsidRDefault="00F64D78" w:rsidP="00A51ACF">
                            <w:proofErr w:type="gramStart"/>
                            <w:r>
                              <w:t>Isquemia:</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t>___________</w:t>
                            </w:r>
                          </w:p>
                          <w:p w:rsidR="00F64D78" w:rsidRDefault="00F64D78" w:rsidP="00A51ACF">
                            <w:r>
                              <w:t xml:space="preserve">FEVI estrés: __________    FEVI </w:t>
                            </w:r>
                            <w:proofErr w:type="gramStart"/>
                            <w:r>
                              <w:t>reposo:_</w:t>
                            </w:r>
                            <w:proofErr w:type="gramEnd"/>
                            <w:r>
                              <w:t>_________    Caída FEVI:</w:t>
                            </w:r>
                          </w:p>
                          <w:p w:rsidR="00F64D78" w:rsidRDefault="00F64D78" w:rsidP="00A51ACF"/>
                          <w:p w:rsidR="00F64D78" w:rsidRPr="00A51ACF" w:rsidRDefault="00F64D78" w:rsidP="00A51ACF"/>
                          <w:p w:rsidR="00F64D78" w:rsidRDefault="00F64D78" w:rsidP="00A51ACF">
                            <w:r>
                              <w:t xml:space="preserve"> Evolución clínica al año:</w:t>
                            </w:r>
                          </w:p>
                          <w:p w:rsidR="00F64D78" w:rsidRDefault="00F64D78" w:rsidP="00A51ACF">
                            <w:r>
                              <w:t xml:space="preserve"> No eventos isquémicos:</w:t>
                            </w:r>
                          </w:p>
                          <w:p w:rsidR="00F64D78" w:rsidRDefault="00F64D78" w:rsidP="00A51ACF">
                            <w:r>
                              <w:t>Revascularización:</w:t>
                            </w:r>
                          </w:p>
                          <w:p w:rsidR="00F64D78" w:rsidRDefault="00F64D78" w:rsidP="00A51ACF">
                            <w:r>
                              <w:t>SCA:</w:t>
                            </w:r>
                          </w:p>
                          <w:p w:rsidR="00F64D78" w:rsidRDefault="00F64D78" w:rsidP="00A51ACF">
                            <w:r>
                              <w:t>SCC:</w:t>
                            </w:r>
                          </w:p>
                          <w:p w:rsidR="00F64D78" w:rsidRPr="00A51ACF" w:rsidRDefault="00F64D78" w:rsidP="00A51ACF">
                            <w:r>
                              <w:t>Muerte cardiaca: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CC5ED" id="_x0000_t202" coordsize="21600,21600" o:spt="202" path="m,l,21600r21600,l21600,xe">
                <v:stroke joinstyle="miter"/>
                <v:path gradientshapeok="t" o:connecttype="rect"/>
              </v:shapetype>
              <v:shape id="Cuadro de texto 10" o:spid="_x0000_s1026" type="#_x0000_t202" style="position:absolute;left:0;text-align:left;margin-left:-62.5pt;margin-top:27.75pt;width:542.25pt;height:5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">
                <v:textbox>
                  <w:txbxContent>
                    <w:p w:rsidR="00F64D78" w:rsidRPr="00A51ACF" w:rsidRDefault="00F64D78" w:rsidP="00A51ACF">
                      <w:r w:rsidRPr="00A51ACF">
                        <w:t xml:space="preserve">Servicio de Cardiología. Hospital CIMEQ.                 Fecha: </w:t>
                      </w:r>
                      <w:r w:rsidRPr="00A51ACF">
                        <w:softHyphen/>
                      </w:r>
                      <w:r w:rsidRPr="00A51ACF">
                        <w:softHyphen/>
                      </w:r>
                      <w:r w:rsidRPr="00A51ACF">
                        <w:softHyphen/>
                      </w:r>
                      <w:r w:rsidRPr="00A51ACF">
                        <w:softHyphen/>
                        <w:t>________________</w:t>
                      </w:r>
                    </w:p>
                    <w:p w:rsidR="00F64D78" w:rsidRPr="00A51ACF" w:rsidRDefault="00F64D78" w:rsidP="00A51ACF">
                      <w:r w:rsidRPr="00A51ACF">
                        <w:t>Datos generales del paciente:</w:t>
                      </w:r>
                    </w:p>
                    <w:p w:rsidR="00F64D78" w:rsidRPr="00A51ACF" w:rsidRDefault="00F64D78" w:rsidP="00A51ACF">
                      <w:r w:rsidRPr="00A51ACF">
                        <w:t>Nombre y apellidos: ____________________________________________________</w:t>
                      </w:r>
                    </w:p>
                    <w:p w:rsidR="00F64D78" w:rsidRPr="00A51ACF" w:rsidRDefault="00F64D78" w:rsidP="00A51ACF">
                      <w:r w:rsidRPr="00A51ACF">
                        <w:t>Edad: ____                                             Sexo: ___________</w:t>
                      </w:r>
                    </w:p>
                    <w:p w:rsidR="00F64D78" w:rsidRPr="00A51ACF" w:rsidRDefault="00F64D78" w:rsidP="00A51ACF">
                      <w:r w:rsidRPr="00A51ACF">
                        <w:t>Antecedentes de salud:</w:t>
                      </w:r>
                    </w:p>
                    <w:p w:rsidR="00F64D78" w:rsidRPr="00A51ACF" w:rsidRDefault="00F64D78" w:rsidP="00A51ACF">
                      <w:r w:rsidRPr="00A51ACF">
                        <w:t>HTA: ______        DM: ______       Tabaquismo: ______    Dislipidemia: ______</w:t>
                      </w:r>
                    </w:p>
                    <w:p w:rsidR="00F64D78" w:rsidRPr="00A51ACF" w:rsidRDefault="00F64D78" w:rsidP="00A51ACF">
                      <w:r w:rsidRPr="00A51ACF">
                        <w:t>Peso: _______      Talla: _______     IMC: _____</w:t>
                      </w:r>
                    </w:p>
                    <w:p w:rsidR="00F64D78" w:rsidRPr="00A51ACF" w:rsidRDefault="00F64D78" w:rsidP="00A51ACF"/>
                    <w:p w:rsidR="00F64D78" w:rsidRPr="00A51ACF" w:rsidRDefault="00F64D78" w:rsidP="00A51ACF">
                      <w:r w:rsidRPr="00A51ACF">
                        <w:t>Dolor torácico:</w:t>
                      </w:r>
                    </w:p>
                    <w:p w:rsidR="00F64D78" w:rsidRPr="00A51ACF" w:rsidRDefault="00F64D78" w:rsidP="00A51ACF">
                      <w:r w:rsidRPr="00A51ACF">
                        <w:t>Típico: _______              Atípico: _________</w:t>
                      </w:r>
                    </w:p>
                    <w:p w:rsidR="00F64D78" w:rsidRPr="00A51ACF" w:rsidRDefault="00F64D78" w:rsidP="00A51ACF"/>
                    <w:p w:rsidR="00F64D78" w:rsidRPr="00A51ACF" w:rsidRDefault="00F64D78" w:rsidP="00A51ACF">
                      <w:r w:rsidRPr="00A51ACF">
                        <w:t>Prueba ergométrica previa a la GPM:</w:t>
                      </w:r>
                    </w:p>
                    <w:p w:rsidR="00F64D78" w:rsidRPr="00A51ACF" w:rsidRDefault="00F64D78" w:rsidP="00A51ACF">
                      <w:r w:rsidRPr="00A51ACF">
                        <w:t>Si: _____        No____      Causas de no realizada: ___________________</w:t>
                      </w:r>
                    </w:p>
                    <w:p w:rsidR="00F64D78" w:rsidRPr="00A51ACF" w:rsidRDefault="00F64D78" w:rsidP="00A51ACF">
                      <w:r w:rsidRPr="00A51ACF">
                        <w:t>Resultado:</w:t>
                      </w:r>
                    </w:p>
                    <w:p w:rsidR="00F64D78" w:rsidRPr="00A51ACF" w:rsidRDefault="00F64D78" w:rsidP="00A51ACF">
                      <w:r w:rsidRPr="00A51ACF">
                        <w:t>Positivo:                         Negativo:             Dudoso (no concluyente):</w:t>
                      </w:r>
                    </w:p>
                    <w:p w:rsidR="00F64D78" w:rsidRPr="00A51ACF" w:rsidRDefault="00F64D78" w:rsidP="00A51ACF"/>
                    <w:p w:rsidR="00F64D78" w:rsidRPr="00A51ACF" w:rsidRDefault="00F64D78" w:rsidP="00A51ACF">
                      <w:r w:rsidRPr="00A51ACF">
                        <w:t>Tipo de protocolo:</w:t>
                      </w:r>
                    </w:p>
                    <w:p w:rsidR="00F64D78" w:rsidRDefault="00F64D78" w:rsidP="00A51ACF">
                      <w:r w:rsidRPr="00A51ACF">
                        <w:t xml:space="preserve">Detección de isquemia: ____ </w:t>
                      </w:r>
                      <w:r>
                        <w:t xml:space="preserve"> </w:t>
                      </w:r>
                    </w:p>
                    <w:p w:rsidR="00F64D78" w:rsidRPr="00A51ACF" w:rsidRDefault="00F64D78" w:rsidP="00A51ACF"/>
                    <w:p w:rsidR="00F64D78" w:rsidRPr="00A51ACF" w:rsidRDefault="00F64D78" w:rsidP="00A51ACF">
                      <w:r w:rsidRPr="00A51ACF">
                        <w:t>Tipo de estrés:</w:t>
                      </w:r>
                    </w:p>
                    <w:p w:rsidR="00F64D78" w:rsidRDefault="00F64D78" w:rsidP="00A51ACF">
                      <w:r w:rsidRPr="00A51ACF">
                        <w:t>Físico: ____________</w:t>
                      </w:r>
                      <w:r>
                        <w:t xml:space="preserve">                      </w:t>
                      </w:r>
                      <w:r w:rsidRPr="00A51ACF">
                        <w:t xml:space="preserve"> Farmacológico____ </w:t>
                      </w:r>
                      <w:r>
                        <w:t xml:space="preserve">         </w:t>
                      </w:r>
                    </w:p>
                    <w:p w:rsidR="00F64D78" w:rsidRDefault="00F64D78" w:rsidP="00A51ACF">
                      <w:r>
                        <w:t xml:space="preserve"> </w:t>
                      </w:r>
                    </w:p>
                    <w:p w:rsidR="00F64D78" w:rsidRDefault="00F64D78" w:rsidP="00A51ACF">
                      <w:r>
                        <w:t>PM:</w:t>
                      </w:r>
                    </w:p>
                    <w:p w:rsidR="00F64D78" w:rsidRDefault="00F64D78" w:rsidP="00A51ACF">
                      <w:r>
                        <w:t>Isquemia:</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w:t>
                      </w:r>
                    </w:p>
                    <w:p w:rsidR="00F64D78" w:rsidRDefault="00F64D78" w:rsidP="00A51ACF">
                      <w:r>
                        <w:t>FEVI estrés: __________    FEVI reposo:__________    Caída FEVI:</w:t>
                      </w:r>
                    </w:p>
                    <w:p w:rsidR="00F64D78" w:rsidRDefault="00F64D78" w:rsidP="00A51ACF"/>
                    <w:p w:rsidR="00F64D78" w:rsidRPr="00A51ACF" w:rsidRDefault="00F64D78" w:rsidP="00A51ACF"/>
                    <w:p w:rsidR="00F64D78" w:rsidRDefault="00F64D78" w:rsidP="00A51ACF">
                      <w:r>
                        <w:t xml:space="preserve"> Evolución clínica al año:</w:t>
                      </w:r>
                    </w:p>
                    <w:p w:rsidR="00F64D78" w:rsidRDefault="00F64D78" w:rsidP="00A51ACF">
                      <w:r>
                        <w:t xml:space="preserve"> No eventos isquémicos:</w:t>
                      </w:r>
                    </w:p>
                    <w:p w:rsidR="00F64D78" w:rsidRDefault="00F64D78" w:rsidP="00A51ACF">
                      <w:r>
                        <w:t>Revascularización:</w:t>
                      </w:r>
                    </w:p>
                    <w:p w:rsidR="00F64D78" w:rsidRDefault="00F64D78" w:rsidP="00A51ACF">
                      <w:r>
                        <w:t>SCA:</w:t>
                      </w:r>
                    </w:p>
                    <w:p w:rsidR="00F64D78" w:rsidRDefault="00F64D78" w:rsidP="00A51ACF">
                      <w:r>
                        <w:t>SCC:</w:t>
                      </w:r>
                    </w:p>
                    <w:p w:rsidR="00F64D78" w:rsidRPr="00A51ACF" w:rsidRDefault="00F64D78" w:rsidP="00A51ACF">
                      <w:r>
                        <w:t>Muerte cardiaca:</w:t>
                      </w:r>
                    </w:p>
                  </w:txbxContent>
                </v:textbox>
              </v:shape>
            </w:pict>
          </mc:Fallback>
        </mc:AlternateContent>
      </w:r>
      <w:r>
        <w:t xml:space="preserve"> </w:t>
      </w:r>
      <w:r w:rsidRPr="00C94D4D">
        <w:rPr>
          <w:b/>
          <w:u w:val="single"/>
        </w:rPr>
        <w:t>Anexo 1. Planilla de recolección de datos de la GPM por SPECT</w:t>
      </w:r>
      <w:r w:rsidRPr="00AE477F">
        <w:t>.</w:t>
      </w: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Default="00F947F2" w:rsidP="00A51ACF">
      <w:pPr>
        <w:spacing w:line="480" w:lineRule="auto"/>
      </w:pPr>
    </w:p>
    <w:p w:rsidR="00F947F2" w:rsidRPr="00C94D4D" w:rsidRDefault="00F947F2" w:rsidP="00F947F2">
      <w:pPr>
        <w:autoSpaceDE w:val="0"/>
        <w:autoSpaceDN w:val="0"/>
        <w:adjustRightInd w:val="0"/>
        <w:spacing w:line="320" w:lineRule="atLeast"/>
        <w:ind w:right="60"/>
        <w:rPr>
          <w:b/>
          <w:u w:val="single"/>
        </w:rPr>
      </w:pPr>
      <w:r w:rsidRPr="00C94D4D">
        <w:rPr>
          <w:b/>
          <w:u w:val="single"/>
        </w:rPr>
        <w:lastRenderedPageBreak/>
        <w:t xml:space="preserve">Anexo 2. </w:t>
      </w:r>
    </w:p>
    <w:p w:rsidR="00F947F2" w:rsidRPr="00AE477F" w:rsidRDefault="00F947F2" w:rsidP="00F947F2">
      <w:pPr>
        <w:autoSpaceDE w:val="0"/>
        <w:autoSpaceDN w:val="0"/>
        <w:adjustRightInd w:val="0"/>
        <w:spacing w:line="320" w:lineRule="atLeast"/>
        <w:ind w:right="60"/>
      </w:pPr>
    </w:p>
    <w:p w:rsidR="00F947F2" w:rsidRPr="00AE477F" w:rsidRDefault="00F947F2" w:rsidP="00F947F2">
      <w:pPr>
        <w:spacing w:line="360" w:lineRule="auto"/>
        <w:rPr>
          <w:b/>
          <w:lang w:val="es-ES_tradnl"/>
        </w:rPr>
      </w:pPr>
      <w:r w:rsidRPr="00AE477F">
        <w:rPr>
          <w:b/>
          <w:lang w:val="es-ES_tradnl"/>
        </w:rPr>
        <w:t>CONSENTIMIENTO INFORMADO</w:t>
      </w:r>
    </w:p>
    <w:p w:rsidR="00F947F2" w:rsidRPr="00AE477F" w:rsidRDefault="00F947F2" w:rsidP="00F947F2">
      <w:pPr>
        <w:spacing w:line="360" w:lineRule="auto"/>
        <w:rPr>
          <w:lang w:val="es-ES_tradnl"/>
        </w:rPr>
      </w:pPr>
      <w:r w:rsidRPr="00AE477F">
        <w:rPr>
          <w:lang w:val="es-ES_tradnl"/>
        </w:rPr>
        <w:t>Con el objetivo de lograr la adecuada satisfacción de los pacientes participantes en el estudio se pone en cumplimiento de la Ley de Salud Pública de la República de Cuba, se expide el siguiente documento:</w:t>
      </w:r>
    </w:p>
    <w:p w:rsidR="00F947F2" w:rsidRPr="00AE477F" w:rsidRDefault="00F947F2" w:rsidP="00F947F2">
      <w:pPr>
        <w:spacing w:line="360" w:lineRule="auto"/>
        <w:rPr>
          <w:lang w:val="es-ES_tradnl"/>
        </w:rPr>
      </w:pPr>
      <w:r w:rsidRPr="00AE477F">
        <w:rPr>
          <w:lang w:val="es-ES_tradnl"/>
        </w:rPr>
        <w:t>Yo---------------------------------------------------- con carnet de identidad--------------------------------------------- en pleno uso de mis facultades físicas y mentales, hago constar que he sido debidamente informado(a) en entrevista individual y colectiva sobre el estudio llevado a cabo por parte de los especialistas y residentes de la especialidad de Cardiología perteneciente al Centro de Investigaciones Médico-Quirúrgicas.</w:t>
      </w:r>
    </w:p>
    <w:p w:rsidR="00F947F2" w:rsidRPr="00AE477F" w:rsidRDefault="00F947F2" w:rsidP="00F947F2">
      <w:pPr>
        <w:spacing w:line="360" w:lineRule="auto"/>
        <w:rPr>
          <w:lang w:val="es-ES_tradnl"/>
        </w:rPr>
      </w:pPr>
      <w:r w:rsidRPr="00AE477F">
        <w:rPr>
          <w:lang w:val="es-ES_tradnl"/>
        </w:rPr>
        <w:t>He recibido explicaciones verbales y escritas, sobre la naturaleza de los exámenes de  los que serán analizados sus resultados,  por tanto planteo que he entendido y acepto todo lo anteriormente expuesto, otorgando mi consentimiento para la participación de dicho estudio, sabiendo que el mismo(consentimiento informado) puede ser revocado por mi persona cuando sienta que represente peligro para mi vida o que los resultados de dichos exámenes sean revelados fuera de un ambiente propiamente científico.</w:t>
      </w:r>
    </w:p>
    <w:p w:rsidR="00F947F2" w:rsidRPr="00AE477F" w:rsidRDefault="00F947F2" w:rsidP="00F947F2">
      <w:pPr>
        <w:spacing w:line="360" w:lineRule="auto"/>
        <w:rPr>
          <w:lang w:val="es-ES_tradnl"/>
        </w:rPr>
      </w:pPr>
      <w:r w:rsidRPr="00AE477F">
        <w:rPr>
          <w:lang w:val="es-ES_tradnl"/>
        </w:rPr>
        <w:t>Para dejar constancia de todo lo anteriormente expuesto, firmo el presente documento a los ----------- del mes-------------------------------------</w:t>
      </w:r>
    </w:p>
    <w:p w:rsidR="00F947F2" w:rsidRPr="00AE477F" w:rsidRDefault="00F947F2" w:rsidP="00F947F2">
      <w:pPr>
        <w:spacing w:line="360" w:lineRule="auto"/>
        <w:rPr>
          <w:lang w:val="es-ES_tradnl"/>
        </w:rPr>
      </w:pPr>
      <w:r w:rsidRPr="00AE477F">
        <w:rPr>
          <w:lang w:val="es-ES_tradnl"/>
        </w:rPr>
        <w:t>Firma del paciente------------------------------------------------------</w:t>
      </w:r>
    </w:p>
    <w:p w:rsidR="00F947F2" w:rsidRPr="00AE477F" w:rsidRDefault="00F947F2" w:rsidP="00F947F2">
      <w:pPr>
        <w:spacing w:line="360" w:lineRule="auto"/>
        <w:rPr>
          <w:lang w:val="es-ES_tradnl"/>
        </w:rPr>
      </w:pPr>
      <w:r w:rsidRPr="00AE477F">
        <w:rPr>
          <w:lang w:val="es-ES_tradnl"/>
        </w:rPr>
        <w:t>Firma del médico--------------------------------------------------------</w:t>
      </w:r>
    </w:p>
    <w:p w:rsidR="00F947F2" w:rsidRPr="00AE477F" w:rsidRDefault="00F947F2" w:rsidP="00F947F2">
      <w:pPr>
        <w:spacing w:line="360" w:lineRule="auto"/>
        <w:rPr>
          <w:lang w:val="es-ES_tradnl"/>
        </w:rPr>
      </w:pPr>
      <w:r w:rsidRPr="00AE477F">
        <w:rPr>
          <w:lang w:val="es-ES_tradnl"/>
        </w:rPr>
        <w:t>En representación del paciente:</w:t>
      </w:r>
    </w:p>
    <w:p w:rsidR="00F947F2" w:rsidRPr="00AE477F" w:rsidRDefault="00F947F2" w:rsidP="00F947F2">
      <w:pPr>
        <w:spacing w:line="360" w:lineRule="auto"/>
        <w:rPr>
          <w:lang w:val="es-ES_tradnl"/>
        </w:rPr>
      </w:pPr>
      <w:r w:rsidRPr="00AE477F">
        <w:rPr>
          <w:lang w:val="es-ES_tradnl"/>
        </w:rPr>
        <w:t>Nombre y Apellidos-----------------------------------------------------</w:t>
      </w:r>
    </w:p>
    <w:p w:rsidR="00F947F2" w:rsidRPr="00AE477F" w:rsidRDefault="00F947F2" w:rsidP="00F947F2">
      <w:pPr>
        <w:spacing w:line="360" w:lineRule="auto"/>
        <w:rPr>
          <w:lang w:val="es-ES_tradnl"/>
        </w:rPr>
      </w:pPr>
      <w:r w:rsidRPr="00AE477F">
        <w:rPr>
          <w:lang w:val="es-ES_tradnl"/>
        </w:rPr>
        <w:t>Carnet de identidad-----------------------------------------------------</w:t>
      </w:r>
    </w:p>
    <w:p w:rsidR="00F947F2" w:rsidRDefault="00F947F2" w:rsidP="00F947F2">
      <w:pPr>
        <w:spacing w:line="480" w:lineRule="auto"/>
        <w:rPr>
          <w:lang w:val="es-ES_tradnl"/>
        </w:rPr>
      </w:pPr>
      <w:r w:rsidRPr="00AE477F">
        <w:rPr>
          <w:lang w:val="es-ES_tradnl"/>
        </w:rPr>
        <w:t>Firma del representante----------------------------------------------</w:t>
      </w:r>
    </w:p>
    <w:p w:rsidR="00F947F2" w:rsidRDefault="00F947F2" w:rsidP="00F947F2">
      <w:pPr>
        <w:spacing w:line="480" w:lineRule="auto"/>
        <w:rPr>
          <w:lang w:val="es-ES_tradnl"/>
        </w:rPr>
      </w:pPr>
    </w:p>
    <w:p w:rsidR="00F947F2" w:rsidRDefault="00F947F2" w:rsidP="00F947F2">
      <w:pPr>
        <w:spacing w:line="480" w:lineRule="auto"/>
        <w:rPr>
          <w:lang w:val="es-ES_tradnl"/>
        </w:rPr>
      </w:pPr>
    </w:p>
    <w:p w:rsidR="00F947F2" w:rsidRDefault="00F947F2" w:rsidP="00F947F2">
      <w:pPr>
        <w:spacing w:line="480" w:lineRule="auto"/>
        <w:rPr>
          <w:lang w:val="es-ES_tradnl"/>
        </w:rPr>
      </w:pPr>
    </w:p>
    <w:p w:rsidR="00F947F2" w:rsidRDefault="00F947F2" w:rsidP="00F947F2">
      <w:pPr>
        <w:spacing w:line="480" w:lineRule="auto"/>
        <w:rPr>
          <w:lang w:val="es-ES_tradnl"/>
        </w:rPr>
      </w:pPr>
    </w:p>
    <w:p w:rsidR="00F947F2" w:rsidRPr="00C94D4D" w:rsidRDefault="00F947F2" w:rsidP="00F947F2">
      <w:pPr>
        <w:spacing w:line="480" w:lineRule="auto"/>
        <w:rPr>
          <w:b/>
        </w:rPr>
      </w:pPr>
      <w:r w:rsidRPr="00C94D4D">
        <w:rPr>
          <w:b/>
          <w:u w:val="single"/>
        </w:rPr>
        <w:lastRenderedPageBreak/>
        <w:t xml:space="preserve">Anexo </w:t>
      </w:r>
      <w:r w:rsidRPr="00931643">
        <w:rPr>
          <w:b/>
          <w:u w:val="single"/>
        </w:rPr>
        <w:t>3</w:t>
      </w:r>
      <w:r w:rsidRPr="00931643">
        <w:rPr>
          <w:b/>
        </w:rPr>
        <w:t>.</w:t>
      </w:r>
      <w:r>
        <w:t xml:space="preserve"> </w:t>
      </w:r>
      <w:r w:rsidRPr="00C94D4D">
        <w:rPr>
          <w:b/>
        </w:rPr>
        <w:t>Criterios de positividad</w:t>
      </w:r>
      <w:r w:rsidRPr="00C94D4D">
        <w:rPr>
          <w:b/>
          <w:lang w:val="es-ES_tradnl"/>
        </w:rPr>
        <w:t xml:space="preserve"> de la prueba </w:t>
      </w:r>
      <w:proofErr w:type="spellStart"/>
      <w:r w:rsidRPr="00C94D4D">
        <w:rPr>
          <w:b/>
          <w:lang w:val="es-ES_tradnl"/>
        </w:rPr>
        <w:t>ergométrica</w:t>
      </w:r>
      <w:proofErr w:type="spellEnd"/>
      <w:r w:rsidRPr="00C94D4D">
        <w:rPr>
          <w:b/>
          <w:lang w:val="es-ES_tradnl"/>
        </w:rPr>
        <w:t xml:space="preserve"> aceptados por la </w:t>
      </w:r>
      <w:proofErr w:type="spellStart"/>
      <w:r w:rsidRPr="00C94D4D">
        <w:rPr>
          <w:b/>
          <w:lang w:val="es-ES_tradnl"/>
        </w:rPr>
        <w:t>Task</w:t>
      </w:r>
      <w:proofErr w:type="spellEnd"/>
      <w:r w:rsidRPr="00C94D4D">
        <w:rPr>
          <w:b/>
          <w:lang w:val="es-ES_tradnl"/>
        </w:rPr>
        <w:t xml:space="preserve"> </w:t>
      </w:r>
      <w:proofErr w:type="spellStart"/>
      <w:r w:rsidRPr="00C94D4D">
        <w:rPr>
          <w:b/>
          <w:lang w:val="es-ES_tradnl"/>
        </w:rPr>
        <w:t>Force</w:t>
      </w:r>
      <w:proofErr w:type="spellEnd"/>
      <w:r w:rsidRPr="00C94D4D">
        <w:rPr>
          <w:b/>
          <w:vertAlign w:val="superscript"/>
          <w:lang w:val="es-ES_tradnl"/>
        </w:rPr>
        <w:t xml:space="preserve"> 24</w:t>
      </w:r>
    </w:p>
    <w:p w:rsidR="00F947F2" w:rsidRDefault="00F947F2" w:rsidP="00F947F2">
      <w:pPr>
        <w:spacing w:line="480" w:lineRule="auto"/>
        <w:jc w:val="center"/>
      </w:pPr>
      <w:r>
        <w:rPr>
          <w:noProof/>
          <w:lang w:val="es-MX" w:eastAsia="es-MX"/>
        </w:rPr>
        <w:drawing>
          <wp:inline distT="0" distB="0" distL="0" distR="0" wp14:anchorId="4A08FD8E" wp14:editId="55F402EE">
            <wp:extent cx="4613908" cy="3216166"/>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srcRect l="48271"/>
                    <a:stretch/>
                  </pic:blipFill>
                  <pic:spPr bwMode="auto">
                    <a:xfrm>
                      <a:off x="0" y="0"/>
                      <a:ext cx="4628292" cy="3226193"/>
                    </a:xfrm>
                    <a:prstGeom prst="rect">
                      <a:avLst/>
                    </a:prstGeom>
                    <a:noFill/>
                    <a:ln>
                      <a:noFill/>
                    </a:ln>
                    <a:extLst>
                      <a:ext uri="{53640926-AAD7-44D8-BBD7-CCE9431645EC}">
                        <a14:shadowObscured xmlns:a14="http://schemas.microsoft.com/office/drawing/2010/main"/>
                      </a:ext>
                    </a:extLst>
                  </pic:spPr>
                </pic:pic>
              </a:graphicData>
            </a:graphic>
          </wp:inline>
        </w:drawing>
      </w:r>
    </w:p>
    <w:p w:rsidR="00F947F2" w:rsidRDefault="00F947F2" w:rsidP="00F947F2">
      <w:pPr>
        <w:spacing w:line="480" w:lineRule="auto"/>
        <w:jc w:val="center"/>
      </w:pPr>
      <w:r>
        <w:rPr>
          <w:noProof/>
          <w:lang w:val="es-MX" w:eastAsia="es-MX"/>
        </w:rPr>
        <w:drawing>
          <wp:inline distT="0" distB="0" distL="0" distR="0" wp14:anchorId="0D215635" wp14:editId="52F4D864">
            <wp:extent cx="5400040" cy="2529709"/>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srcRect/>
                    <a:stretch>
                      <a:fillRect/>
                    </a:stretch>
                  </pic:blipFill>
                  <pic:spPr bwMode="auto">
                    <a:xfrm>
                      <a:off x="0" y="0"/>
                      <a:ext cx="5400040" cy="2529709"/>
                    </a:xfrm>
                    <a:prstGeom prst="rect">
                      <a:avLst/>
                    </a:prstGeom>
                    <a:noFill/>
                    <a:ln w="9525">
                      <a:noFill/>
                      <a:miter lim="800000"/>
                      <a:headEnd/>
                      <a:tailEnd/>
                    </a:ln>
                  </pic:spPr>
                </pic:pic>
              </a:graphicData>
            </a:graphic>
          </wp:inline>
        </w:drawing>
      </w:r>
    </w:p>
    <w:p w:rsidR="00F947F2" w:rsidRDefault="00F947F2" w:rsidP="00F947F2">
      <w:pPr>
        <w:spacing w:line="480" w:lineRule="auto"/>
      </w:pPr>
    </w:p>
    <w:p w:rsidR="00F947F2" w:rsidRDefault="00F947F2" w:rsidP="00F947F2">
      <w:pPr>
        <w:spacing w:line="480" w:lineRule="auto"/>
        <w:rPr>
          <w:lang w:val="es-ES_tradnl"/>
        </w:rPr>
      </w:pPr>
    </w:p>
    <w:p w:rsidR="00F947F2" w:rsidRPr="00AE477F" w:rsidRDefault="00F947F2" w:rsidP="00F947F2">
      <w:pPr>
        <w:spacing w:line="480" w:lineRule="auto"/>
      </w:pPr>
    </w:p>
    <w:p w:rsidR="00597E93" w:rsidRPr="00740BE6" w:rsidRDefault="00597E93" w:rsidP="00EF6D32">
      <w:pPr>
        <w:spacing w:line="480" w:lineRule="auto"/>
      </w:pPr>
    </w:p>
    <w:p w:rsidR="00353A4F" w:rsidRPr="00740BE6" w:rsidRDefault="00353A4F" w:rsidP="00F471EF">
      <w:pPr>
        <w:spacing w:line="480" w:lineRule="auto"/>
      </w:pPr>
      <w:bookmarkStart w:id="59" w:name="_GoBack"/>
      <w:bookmarkEnd w:id="59"/>
    </w:p>
    <w:sectPr w:rsidR="00353A4F" w:rsidRPr="00740BE6" w:rsidSect="00445A00">
      <w:headerReference w:type="default" r:id="rId58"/>
      <w:footerReference w:type="even" r:id="rId59"/>
      <w:footerReference w:type="first" r:id="rId60"/>
      <w:pgSz w:w="11907" w:h="16839" w:code="9"/>
      <w:pgMar w:top="1701" w:right="1701" w:bottom="1418" w:left="1985" w:header="1440" w:footer="1440"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98" w:rsidRDefault="00DD4298">
      <w:r>
        <w:separator/>
      </w:r>
    </w:p>
  </w:endnote>
  <w:endnote w:type="continuationSeparator" w:id="0">
    <w:p w:rsidR="00DD4298" w:rsidRDefault="00D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radley Hand ITC">
    <w:altName w:val="Ink Free"/>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ulliver">
    <w:altName w:val="Malgun Gothic Semilight"/>
    <w:panose1 w:val="00000000000000000000"/>
    <w:charset w:val="80"/>
    <w:family w:val="auto"/>
    <w:notTrueType/>
    <w:pitch w:val="default"/>
    <w:sig w:usb0="00000000" w:usb1="09070000" w:usb2="00000010" w:usb3="00000000" w:csb0="000A0001" w:csb1="00000000"/>
  </w:font>
  <w:font w:name="Century Gothic">
    <w:panose1 w:val="020B0502020202020204"/>
    <w:charset w:val="00"/>
    <w:family w:val="swiss"/>
    <w:pitch w:val="variable"/>
    <w:sig w:usb0="00000287" w:usb1="00000000" w:usb2="00000000" w:usb3="00000000" w:csb0="0000009F" w:csb1="00000000"/>
  </w:font>
  <w:font w:name="Times-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Pr="00EC1211" w:rsidRDefault="00F64D78" w:rsidP="00EC1211">
    <w:pPr>
      <w:pStyle w:val="Piedepgina"/>
    </w:pPr>
    <w:r>
      <w:rPr>
        <w:rStyle w:val="Nmerodepgina"/>
      </w:rPr>
      <w:fldChar w:fldCharType="begin"/>
    </w:r>
    <w:r>
      <w:rPr>
        <w:rStyle w:val="Nmerodepgina"/>
      </w:rPr>
      <w:instrText xml:space="preserve"> PAGE </w:instrText>
    </w:r>
    <w:r>
      <w:rPr>
        <w:rStyle w:val="Nmerodepgina"/>
      </w:rPr>
      <w:fldChar w:fldCharType="separate"/>
    </w:r>
    <w:r w:rsidR="009106B2">
      <w:rPr>
        <w:rStyle w:val="Nmerodepgina"/>
        <w:noProof/>
      </w:rPr>
      <w:t>82</w:t>
    </w:r>
    <w:r>
      <w:rPr>
        <w:rStyle w:val="Nmerodepgina"/>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64D78" w:rsidRDefault="00F64D78">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98" w:rsidRDefault="00DD4298">
      <w:r>
        <w:separator/>
      </w:r>
    </w:p>
  </w:footnote>
  <w:footnote w:type="continuationSeparator" w:id="0">
    <w:p w:rsidR="00DD4298" w:rsidRDefault="00DD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78" w:rsidRDefault="00F64D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A2FF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D27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82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360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4F1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C80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34C4E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2490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6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A905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3F4E8C"/>
    <w:multiLevelType w:val="singleLevel"/>
    <w:tmpl w:val="1E40F178"/>
    <w:lvl w:ilvl="0">
      <w:start w:val="1"/>
      <w:numFmt w:val="none"/>
      <w:lvlText w:val=""/>
      <w:legacy w:legacy="1" w:legacySpace="0" w:legacyIndent="360"/>
      <w:lvlJc w:val="left"/>
      <w:pPr>
        <w:ind w:left="2160" w:hanging="360"/>
      </w:pPr>
    </w:lvl>
  </w:abstractNum>
  <w:abstractNum w:abstractNumId="12" w15:restartNumberingAfterBreak="0">
    <w:nsid w:val="06B32174"/>
    <w:multiLevelType w:val="hybridMultilevel"/>
    <w:tmpl w:val="29FE7C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3546A"/>
    <w:multiLevelType w:val="hybridMultilevel"/>
    <w:tmpl w:val="5F34A946"/>
    <w:lvl w:ilvl="0" w:tplc="0C0A0001">
      <w:start w:val="1"/>
      <w:numFmt w:val="bullet"/>
      <w:lvlText w:val=""/>
      <w:lvlJc w:val="left"/>
      <w:pPr>
        <w:tabs>
          <w:tab w:val="num" w:pos="990"/>
        </w:tabs>
        <w:ind w:left="990" w:hanging="360"/>
      </w:pPr>
      <w:rPr>
        <w:rFonts w:ascii="Symbol" w:hAnsi="Symbol" w:hint="default"/>
      </w:r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14" w15:restartNumberingAfterBreak="0">
    <w:nsid w:val="06F92064"/>
    <w:multiLevelType w:val="hybridMultilevel"/>
    <w:tmpl w:val="030057F0"/>
    <w:lvl w:ilvl="0" w:tplc="0C0A000F">
      <w:start w:val="1"/>
      <w:numFmt w:val="decimal"/>
      <w:lvlText w:val="%1."/>
      <w:lvlJc w:val="left"/>
      <w:pPr>
        <w:tabs>
          <w:tab w:val="num" w:pos="990"/>
        </w:tabs>
        <w:ind w:left="990" w:hanging="360"/>
      </w:p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15" w15:restartNumberingAfterBreak="0">
    <w:nsid w:val="117A38BA"/>
    <w:multiLevelType w:val="multilevel"/>
    <w:tmpl w:val="85AA6910"/>
    <w:lvl w:ilvl="0">
      <w:start w:val="1"/>
      <w:numFmt w:val="decimal"/>
      <w:lvlText w:val="%1."/>
      <w:lvlJc w:val="left"/>
      <w:pPr>
        <w:tabs>
          <w:tab w:val="num" w:pos="990"/>
        </w:tabs>
        <w:ind w:left="99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1884BC7"/>
    <w:multiLevelType w:val="hybridMultilevel"/>
    <w:tmpl w:val="A3C67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1401A0"/>
    <w:multiLevelType w:val="hybridMultilevel"/>
    <w:tmpl w:val="0FDA6686"/>
    <w:lvl w:ilvl="0" w:tplc="0C0A0001">
      <w:start w:val="1"/>
      <w:numFmt w:val="bullet"/>
      <w:lvlText w:val=""/>
      <w:lvlJc w:val="left"/>
      <w:pPr>
        <w:ind w:left="990" w:hanging="360"/>
      </w:pPr>
      <w:rPr>
        <w:rFonts w:ascii="Symbol" w:hAnsi="Symbol"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18" w15:restartNumberingAfterBreak="0">
    <w:nsid w:val="17415870"/>
    <w:multiLevelType w:val="singleLevel"/>
    <w:tmpl w:val="21FC2C1E"/>
    <w:lvl w:ilvl="0">
      <w:start w:val="1"/>
      <w:numFmt w:val="decimal"/>
      <w:lvlText w:val="%1."/>
      <w:legacy w:legacy="1" w:legacySpace="0" w:legacyIndent="360"/>
      <w:lvlJc w:val="left"/>
      <w:pPr>
        <w:ind w:left="720" w:hanging="360"/>
      </w:pPr>
    </w:lvl>
  </w:abstractNum>
  <w:abstractNum w:abstractNumId="19" w15:restartNumberingAfterBreak="0">
    <w:nsid w:val="1E927967"/>
    <w:multiLevelType w:val="hybridMultilevel"/>
    <w:tmpl w:val="9000F8E4"/>
    <w:lvl w:ilvl="0" w:tplc="8B28FF74">
      <w:start w:val="1"/>
      <w:numFmt w:val="bullet"/>
      <w:lvlText w:val=""/>
      <w:lvlJc w:val="left"/>
      <w:pPr>
        <w:tabs>
          <w:tab w:val="num" w:pos="720"/>
        </w:tabs>
        <w:ind w:left="567" w:hanging="20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44396F"/>
    <w:multiLevelType w:val="hybridMultilevel"/>
    <w:tmpl w:val="51D2529C"/>
    <w:lvl w:ilvl="0" w:tplc="0C0A000F">
      <w:start w:val="1"/>
      <w:numFmt w:val="decimal"/>
      <w:lvlText w:val="%1."/>
      <w:lvlJc w:val="left"/>
      <w:pPr>
        <w:tabs>
          <w:tab w:val="num" w:pos="990"/>
        </w:tabs>
        <w:ind w:left="99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AA6637"/>
    <w:multiLevelType w:val="hybridMultilevel"/>
    <w:tmpl w:val="141A9DFC"/>
    <w:lvl w:ilvl="0" w:tplc="0C0A000F">
      <w:start w:val="1"/>
      <w:numFmt w:val="decimal"/>
      <w:lvlText w:val="%1."/>
      <w:lvlJc w:val="left"/>
      <w:pPr>
        <w:tabs>
          <w:tab w:val="num" w:pos="990"/>
        </w:tabs>
        <w:ind w:left="990" w:hanging="360"/>
      </w:p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22" w15:restartNumberingAfterBreak="0">
    <w:nsid w:val="3DD60264"/>
    <w:multiLevelType w:val="hybridMultilevel"/>
    <w:tmpl w:val="2C30A26C"/>
    <w:lvl w:ilvl="0" w:tplc="4D366CD8">
      <w:numFmt w:val="bullet"/>
      <w:lvlText w:val=""/>
      <w:lvlJc w:val="left"/>
      <w:pPr>
        <w:ind w:left="990" w:hanging="360"/>
      </w:pPr>
      <w:rPr>
        <w:rFonts w:ascii="Arial" w:eastAsia="MS Mincho" w:hAnsi="Arial" w:cs="Arial"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23" w15:restartNumberingAfterBreak="0">
    <w:nsid w:val="42C409D3"/>
    <w:multiLevelType w:val="hybridMultilevel"/>
    <w:tmpl w:val="0E30BA14"/>
    <w:lvl w:ilvl="0" w:tplc="0C0A000F">
      <w:start w:val="1"/>
      <w:numFmt w:val="decimal"/>
      <w:lvlText w:val="%1."/>
      <w:lvlJc w:val="left"/>
      <w:pPr>
        <w:tabs>
          <w:tab w:val="num" w:pos="990"/>
        </w:tabs>
        <w:ind w:left="99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9D119C1"/>
    <w:multiLevelType w:val="hybridMultilevel"/>
    <w:tmpl w:val="67F6B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85D07"/>
    <w:multiLevelType w:val="singleLevel"/>
    <w:tmpl w:val="2D020C9C"/>
    <w:lvl w:ilvl="0">
      <w:start w:val="1"/>
      <w:numFmt w:val="none"/>
      <w:lvlText w:val=""/>
      <w:legacy w:legacy="1" w:legacySpace="0" w:legacyIndent="360"/>
      <w:lvlJc w:val="left"/>
      <w:pPr>
        <w:ind w:left="1800" w:hanging="360"/>
      </w:pPr>
    </w:lvl>
  </w:abstractNum>
  <w:abstractNum w:abstractNumId="26" w15:restartNumberingAfterBreak="0">
    <w:nsid w:val="5577752D"/>
    <w:multiLevelType w:val="hybridMultilevel"/>
    <w:tmpl w:val="85AA6910"/>
    <w:lvl w:ilvl="0" w:tplc="0C0A000F">
      <w:start w:val="1"/>
      <w:numFmt w:val="decimal"/>
      <w:lvlText w:val="%1."/>
      <w:lvlJc w:val="left"/>
      <w:pPr>
        <w:tabs>
          <w:tab w:val="num" w:pos="990"/>
        </w:tabs>
        <w:ind w:left="99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E35B2A"/>
    <w:multiLevelType w:val="hybridMultilevel"/>
    <w:tmpl w:val="3A10F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87212"/>
    <w:multiLevelType w:val="hybridMultilevel"/>
    <w:tmpl w:val="65D4ECA4"/>
    <w:lvl w:ilvl="0" w:tplc="49B287D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627EE"/>
    <w:multiLevelType w:val="hybridMultilevel"/>
    <w:tmpl w:val="FF447EBA"/>
    <w:lvl w:ilvl="0" w:tplc="0C0A0001">
      <w:start w:val="1"/>
      <w:numFmt w:val="bullet"/>
      <w:lvlText w:val=""/>
      <w:lvlJc w:val="left"/>
      <w:pPr>
        <w:tabs>
          <w:tab w:val="num" w:pos="990"/>
        </w:tabs>
        <w:ind w:left="990" w:hanging="360"/>
      </w:pPr>
      <w:rPr>
        <w:rFonts w:ascii="Symbol" w:hAnsi="Symbol" w:hint="default"/>
      </w:r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30" w15:restartNumberingAfterBreak="0">
    <w:nsid w:val="66703683"/>
    <w:multiLevelType w:val="hybridMultilevel"/>
    <w:tmpl w:val="089CA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9419F0"/>
    <w:multiLevelType w:val="hybridMultilevel"/>
    <w:tmpl w:val="487E57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460A5E"/>
    <w:multiLevelType w:val="hybridMultilevel"/>
    <w:tmpl w:val="B8FC4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2436FC"/>
    <w:multiLevelType w:val="hybridMultilevel"/>
    <w:tmpl w:val="21B0CD4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E4075"/>
    <w:multiLevelType w:val="singleLevel"/>
    <w:tmpl w:val="0409000F"/>
    <w:lvl w:ilvl="0">
      <w:start w:val="1"/>
      <w:numFmt w:val="decimal"/>
      <w:lvlText w:val="%1."/>
      <w:legacy w:legacy="1" w:legacySpace="0" w:legacyIndent="360"/>
      <w:lvlJc w:val="left"/>
      <w:pPr>
        <w:ind w:left="360" w:hanging="360"/>
      </w:pPr>
    </w:lvl>
  </w:abstractNum>
  <w:abstractNum w:abstractNumId="35" w15:restartNumberingAfterBreak="0">
    <w:nsid w:val="6EF75752"/>
    <w:multiLevelType w:val="singleLevel"/>
    <w:tmpl w:val="4894BB5A"/>
    <w:lvl w:ilvl="0">
      <w:start w:val="1"/>
      <w:numFmt w:val="none"/>
      <w:lvlText w:val=""/>
      <w:legacy w:legacy="1" w:legacySpace="0" w:legacyIndent="360"/>
      <w:lvlJc w:val="left"/>
      <w:pPr>
        <w:ind w:left="1080" w:hanging="360"/>
      </w:pPr>
    </w:lvl>
  </w:abstractNum>
  <w:abstractNum w:abstractNumId="36" w15:restartNumberingAfterBreak="0">
    <w:nsid w:val="71A52A30"/>
    <w:multiLevelType w:val="singleLevel"/>
    <w:tmpl w:val="6D0E1592"/>
    <w:lvl w:ilvl="0">
      <w:start w:val="1"/>
      <w:numFmt w:val="decimal"/>
      <w:lvlText w:val="%1."/>
      <w:legacy w:legacy="1" w:legacySpace="0" w:legacyIndent="360"/>
      <w:lvlJc w:val="left"/>
      <w:pPr>
        <w:ind w:left="720" w:hanging="360"/>
      </w:pPr>
    </w:lvl>
  </w:abstractNum>
  <w:abstractNum w:abstractNumId="37" w15:restartNumberingAfterBreak="0">
    <w:nsid w:val="749D78FA"/>
    <w:multiLevelType w:val="singleLevel"/>
    <w:tmpl w:val="AB8CAF84"/>
    <w:lvl w:ilvl="0">
      <w:start w:val="1"/>
      <w:numFmt w:val="none"/>
      <w:lvlText w:val=""/>
      <w:legacy w:legacy="1" w:legacySpace="0" w:legacyIndent="360"/>
      <w:lvlJc w:val="left"/>
      <w:pPr>
        <w:ind w:left="720" w:hanging="360"/>
      </w:pPr>
    </w:lvl>
  </w:abstractNum>
  <w:abstractNum w:abstractNumId="38" w15:restartNumberingAfterBreak="0">
    <w:nsid w:val="787E5276"/>
    <w:multiLevelType w:val="singleLevel"/>
    <w:tmpl w:val="59CA2786"/>
    <w:lvl w:ilvl="0">
      <w:start w:val="1"/>
      <w:numFmt w:val="none"/>
      <w:lvlText w:val=""/>
      <w:legacy w:legacy="1" w:legacySpace="0" w:legacyIndent="360"/>
      <w:lvlJc w:val="left"/>
      <w:pPr>
        <w:ind w:left="1440" w:hanging="360"/>
      </w:pPr>
    </w:lvl>
  </w:abstractNum>
  <w:abstractNum w:abstractNumId="39" w15:restartNumberingAfterBreak="0">
    <w:nsid w:val="79C30E99"/>
    <w:multiLevelType w:val="hybridMultilevel"/>
    <w:tmpl w:val="6588AD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364990"/>
    <w:multiLevelType w:val="hybridMultilevel"/>
    <w:tmpl w:val="D262A1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3406A"/>
    <w:multiLevelType w:val="hybridMultilevel"/>
    <w:tmpl w:val="E244E6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34"/>
  </w:num>
  <w:num w:numId="7">
    <w:abstractNumId w:val="34"/>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37"/>
  </w:num>
  <w:num w:numId="10">
    <w:abstractNumId w:val="35"/>
  </w:num>
  <w:num w:numId="11">
    <w:abstractNumId w:val="38"/>
  </w:num>
  <w:num w:numId="12">
    <w:abstractNumId w:val="25"/>
  </w:num>
  <w:num w:numId="13">
    <w:abstractNumId w:val="11"/>
  </w:num>
  <w:num w:numId="14">
    <w:abstractNumId w:val="18"/>
  </w:num>
  <w:num w:numId="15">
    <w:abstractNumId w:val="18"/>
    <w:lvlOverride w:ilvl="0">
      <w:lvl w:ilvl="0">
        <w:start w:val="1"/>
        <w:numFmt w:val="decimal"/>
        <w:lvlText w:val="%1."/>
        <w:legacy w:legacy="1" w:legacySpace="0" w:legacyIndent="360"/>
        <w:lvlJc w:val="left"/>
        <w:pPr>
          <w:ind w:left="1080" w:hanging="360"/>
        </w:pPr>
      </w:lvl>
    </w:lvlOverride>
  </w:num>
  <w:num w:numId="16">
    <w:abstractNumId w:val="18"/>
    <w:lvlOverride w:ilvl="0">
      <w:lvl w:ilvl="0">
        <w:start w:val="1"/>
        <w:numFmt w:val="decimal"/>
        <w:lvlText w:val="%1."/>
        <w:legacy w:legacy="1" w:legacySpace="0" w:legacyIndent="360"/>
        <w:lvlJc w:val="left"/>
        <w:pPr>
          <w:ind w:left="1440" w:hanging="360"/>
        </w:pPr>
      </w:lvl>
    </w:lvlOverride>
  </w:num>
  <w:num w:numId="17">
    <w:abstractNumId w:val="18"/>
    <w:lvlOverride w:ilvl="0">
      <w:lvl w:ilvl="0">
        <w:start w:val="1"/>
        <w:numFmt w:val="decimal"/>
        <w:lvlText w:val="%1."/>
        <w:legacy w:legacy="1" w:legacySpace="0" w:legacyIndent="360"/>
        <w:lvlJc w:val="left"/>
        <w:pPr>
          <w:ind w:left="1800" w:hanging="360"/>
        </w:pPr>
      </w:lvl>
    </w:lvlOverride>
  </w:num>
  <w:num w:numId="18">
    <w:abstractNumId w:val="18"/>
    <w:lvlOverride w:ilvl="0">
      <w:lvl w:ilvl="0">
        <w:start w:val="1"/>
        <w:numFmt w:val="decimal"/>
        <w:lvlText w:val="%1."/>
        <w:legacy w:legacy="1" w:legacySpace="0" w:legacyIndent="360"/>
        <w:lvlJc w:val="left"/>
        <w:pPr>
          <w:ind w:left="2160" w:hanging="360"/>
        </w:pPr>
      </w:lvl>
    </w:lvlOverride>
  </w:num>
  <w:num w:numId="19">
    <w:abstractNumId w:val="36"/>
  </w:num>
  <w:num w:numId="20">
    <w:abstractNumId w:val="36"/>
    <w:lvlOverride w:ilvl="0">
      <w:lvl w:ilvl="0">
        <w:start w:val="1"/>
        <w:numFmt w:val="decimal"/>
        <w:lvlText w:val="%1."/>
        <w:legacy w:legacy="1" w:legacySpace="0" w:legacyIndent="360"/>
        <w:lvlJc w:val="left"/>
        <w:pPr>
          <w:ind w:left="720" w:hanging="360"/>
        </w:pPr>
      </w:lvl>
    </w:lvlOverride>
  </w:num>
  <w:num w:numId="21">
    <w:abstractNumId w:val="9"/>
  </w:num>
  <w:num w:numId="22">
    <w:abstractNumId w:val="7"/>
  </w:num>
  <w:num w:numId="23">
    <w:abstractNumId w:val="6"/>
  </w:num>
  <w:num w:numId="24">
    <w:abstractNumId w:val="5"/>
  </w:num>
  <w:num w:numId="25">
    <w:abstractNumId w:val="4"/>
  </w:num>
  <w:num w:numId="26">
    <w:abstractNumId w:val="27"/>
  </w:num>
  <w:num w:numId="27">
    <w:abstractNumId w:val="33"/>
  </w:num>
  <w:num w:numId="28">
    <w:abstractNumId w:val="39"/>
  </w:num>
  <w:num w:numId="29">
    <w:abstractNumId w:val="41"/>
  </w:num>
  <w:num w:numId="30">
    <w:abstractNumId w:val="19"/>
  </w:num>
  <w:num w:numId="31">
    <w:abstractNumId w:val="31"/>
  </w:num>
  <w:num w:numId="32">
    <w:abstractNumId w:val="12"/>
  </w:num>
  <w:num w:numId="33">
    <w:abstractNumId w:val="23"/>
  </w:num>
  <w:num w:numId="34">
    <w:abstractNumId w:val="26"/>
  </w:num>
  <w:num w:numId="35">
    <w:abstractNumId w:val="20"/>
  </w:num>
  <w:num w:numId="36">
    <w:abstractNumId w:val="14"/>
  </w:num>
  <w:num w:numId="37">
    <w:abstractNumId w:val="21"/>
  </w:num>
  <w:num w:numId="38">
    <w:abstractNumId w:val="40"/>
  </w:num>
  <w:num w:numId="39">
    <w:abstractNumId w:val="15"/>
  </w:num>
  <w:num w:numId="40">
    <w:abstractNumId w:val="29"/>
  </w:num>
  <w:num w:numId="41">
    <w:abstractNumId w:val="13"/>
  </w:num>
  <w:num w:numId="42">
    <w:abstractNumId w:val="24"/>
  </w:num>
  <w:num w:numId="43">
    <w:abstractNumId w:val="22"/>
  </w:num>
  <w:num w:numId="44">
    <w:abstractNumId w:val="17"/>
  </w:num>
  <w:num w:numId="45">
    <w:abstractNumId w:val="30"/>
  </w:num>
  <w:num w:numId="46">
    <w:abstractNumId w:val="32"/>
  </w:num>
  <w:num w:numId="47">
    <w:abstractNumId w:val="1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5"/>
  <w:drawingGridVerticalSpacing w:val="127"/>
  <w:displayVerticalDrawingGridEvery w:val="2"/>
  <w:noPunctuationKerning/>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55"/>
    <w:rsid w:val="00001EEA"/>
    <w:rsid w:val="000039D4"/>
    <w:rsid w:val="00007E11"/>
    <w:rsid w:val="00027A3B"/>
    <w:rsid w:val="00027F7D"/>
    <w:rsid w:val="0003084B"/>
    <w:rsid w:val="00033DBD"/>
    <w:rsid w:val="000412CC"/>
    <w:rsid w:val="0004749E"/>
    <w:rsid w:val="000543B0"/>
    <w:rsid w:val="00055AC0"/>
    <w:rsid w:val="00055EE0"/>
    <w:rsid w:val="00056B76"/>
    <w:rsid w:val="00060B17"/>
    <w:rsid w:val="00063F7D"/>
    <w:rsid w:val="0007421A"/>
    <w:rsid w:val="000742AF"/>
    <w:rsid w:val="000745AC"/>
    <w:rsid w:val="0007509F"/>
    <w:rsid w:val="000756D2"/>
    <w:rsid w:val="000773A3"/>
    <w:rsid w:val="000814D6"/>
    <w:rsid w:val="00082281"/>
    <w:rsid w:val="00084E25"/>
    <w:rsid w:val="00087323"/>
    <w:rsid w:val="00094D6F"/>
    <w:rsid w:val="000A0F1B"/>
    <w:rsid w:val="000A694B"/>
    <w:rsid w:val="000A71CF"/>
    <w:rsid w:val="000A79B4"/>
    <w:rsid w:val="000B0F4A"/>
    <w:rsid w:val="000C26CD"/>
    <w:rsid w:val="000C3350"/>
    <w:rsid w:val="000C448A"/>
    <w:rsid w:val="000D060D"/>
    <w:rsid w:val="000D26B3"/>
    <w:rsid w:val="000D2BAF"/>
    <w:rsid w:val="000D6CA3"/>
    <w:rsid w:val="000D7788"/>
    <w:rsid w:val="000E2997"/>
    <w:rsid w:val="000E5571"/>
    <w:rsid w:val="000E6E20"/>
    <w:rsid w:val="000F133E"/>
    <w:rsid w:val="000F20B6"/>
    <w:rsid w:val="000F2502"/>
    <w:rsid w:val="000F5D2B"/>
    <w:rsid w:val="0010273E"/>
    <w:rsid w:val="00116D9B"/>
    <w:rsid w:val="00130236"/>
    <w:rsid w:val="00131332"/>
    <w:rsid w:val="0013336F"/>
    <w:rsid w:val="00137031"/>
    <w:rsid w:val="001442AB"/>
    <w:rsid w:val="00150AD3"/>
    <w:rsid w:val="00150BA6"/>
    <w:rsid w:val="00156456"/>
    <w:rsid w:val="001614DB"/>
    <w:rsid w:val="0016381C"/>
    <w:rsid w:val="00164890"/>
    <w:rsid w:val="00165DDC"/>
    <w:rsid w:val="001668CE"/>
    <w:rsid w:val="00170E0B"/>
    <w:rsid w:val="00172098"/>
    <w:rsid w:val="001729DC"/>
    <w:rsid w:val="00172CA9"/>
    <w:rsid w:val="0017310E"/>
    <w:rsid w:val="0018142D"/>
    <w:rsid w:val="00183538"/>
    <w:rsid w:val="00183FF8"/>
    <w:rsid w:val="00186BAE"/>
    <w:rsid w:val="00192B33"/>
    <w:rsid w:val="00194B4F"/>
    <w:rsid w:val="001A794A"/>
    <w:rsid w:val="001B4175"/>
    <w:rsid w:val="001B6106"/>
    <w:rsid w:val="001B6F09"/>
    <w:rsid w:val="001C28E8"/>
    <w:rsid w:val="001C2AA8"/>
    <w:rsid w:val="001C3902"/>
    <w:rsid w:val="001C62BB"/>
    <w:rsid w:val="001D2C8A"/>
    <w:rsid w:val="001D56EB"/>
    <w:rsid w:val="001E1005"/>
    <w:rsid w:val="001E27B0"/>
    <w:rsid w:val="001E33CB"/>
    <w:rsid w:val="001F030E"/>
    <w:rsid w:val="001F0FE7"/>
    <w:rsid w:val="001F6A93"/>
    <w:rsid w:val="00201AD6"/>
    <w:rsid w:val="00206FE7"/>
    <w:rsid w:val="0020720B"/>
    <w:rsid w:val="00210BB4"/>
    <w:rsid w:val="00211B04"/>
    <w:rsid w:val="00216777"/>
    <w:rsid w:val="002210CF"/>
    <w:rsid w:val="00222926"/>
    <w:rsid w:val="00233C12"/>
    <w:rsid w:val="0023402C"/>
    <w:rsid w:val="002432F5"/>
    <w:rsid w:val="00253553"/>
    <w:rsid w:val="00255C75"/>
    <w:rsid w:val="002706E2"/>
    <w:rsid w:val="002734D0"/>
    <w:rsid w:val="0027377D"/>
    <w:rsid w:val="00282824"/>
    <w:rsid w:val="00290D7E"/>
    <w:rsid w:val="0029386B"/>
    <w:rsid w:val="002940AE"/>
    <w:rsid w:val="00297763"/>
    <w:rsid w:val="002A3F58"/>
    <w:rsid w:val="002A66BE"/>
    <w:rsid w:val="002A7364"/>
    <w:rsid w:val="002B029F"/>
    <w:rsid w:val="002C19D4"/>
    <w:rsid w:val="002C520C"/>
    <w:rsid w:val="002C5857"/>
    <w:rsid w:val="002D4EB4"/>
    <w:rsid w:val="002D524B"/>
    <w:rsid w:val="002D67F0"/>
    <w:rsid w:val="002E2204"/>
    <w:rsid w:val="002E2BB8"/>
    <w:rsid w:val="002E4DB3"/>
    <w:rsid w:val="002E5A5B"/>
    <w:rsid w:val="002F10E7"/>
    <w:rsid w:val="002F1135"/>
    <w:rsid w:val="002F3678"/>
    <w:rsid w:val="002F3792"/>
    <w:rsid w:val="003032FD"/>
    <w:rsid w:val="00306503"/>
    <w:rsid w:val="003149C9"/>
    <w:rsid w:val="003322A2"/>
    <w:rsid w:val="003322FD"/>
    <w:rsid w:val="00333AF6"/>
    <w:rsid w:val="00335634"/>
    <w:rsid w:val="003360A1"/>
    <w:rsid w:val="003362BE"/>
    <w:rsid w:val="00336E8E"/>
    <w:rsid w:val="003468D9"/>
    <w:rsid w:val="00346EFC"/>
    <w:rsid w:val="00347FE4"/>
    <w:rsid w:val="00351B36"/>
    <w:rsid w:val="00353A4F"/>
    <w:rsid w:val="003543B5"/>
    <w:rsid w:val="0036129C"/>
    <w:rsid w:val="00362DA1"/>
    <w:rsid w:val="0036699F"/>
    <w:rsid w:val="00367723"/>
    <w:rsid w:val="0037779B"/>
    <w:rsid w:val="00377C46"/>
    <w:rsid w:val="003812ED"/>
    <w:rsid w:val="003927E9"/>
    <w:rsid w:val="003A146B"/>
    <w:rsid w:val="003A3CA4"/>
    <w:rsid w:val="003A5102"/>
    <w:rsid w:val="003A63CC"/>
    <w:rsid w:val="003B06EF"/>
    <w:rsid w:val="003B3DBA"/>
    <w:rsid w:val="003B3FA5"/>
    <w:rsid w:val="003C5CB2"/>
    <w:rsid w:val="003C65C4"/>
    <w:rsid w:val="003D10FD"/>
    <w:rsid w:val="003D121B"/>
    <w:rsid w:val="003D28D7"/>
    <w:rsid w:val="003D37CF"/>
    <w:rsid w:val="003D37F6"/>
    <w:rsid w:val="003D77F9"/>
    <w:rsid w:val="003F206E"/>
    <w:rsid w:val="00402FE7"/>
    <w:rsid w:val="00410C7C"/>
    <w:rsid w:val="0041241C"/>
    <w:rsid w:val="00415DAA"/>
    <w:rsid w:val="00417650"/>
    <w:rsid w:val="004305CD"/>
    <w:rsid w:val="0043399D"/>
    <w:rsid w:val="00436FF0"/>
    <w:rsid w:val="00440EE1"/>
    <w:rsid w:val="00441FA6"/>
    <w:rsid w:val="00442046"/>
    <w:rsid w:val="00444CFB"/>
    <w:rsid w:val="00444E8F"/>
    <w:rsid w:val="00445A00"/>
    <w:rsid w:val="00454511"/>
    <w:rsid w:val="0045645D"/>
    <w:rsid w:val="00473971"/>
    <w:rsid w:val="00475659"/>
    <w:rsid w:val="00480A80"/>
    <w:rsid w:val="00485178"/>
    <w:rsid w:val="00485976"/>
    <w:rsid w:val="0048622A"/>
    <w:rsid w:val="00490ACD"/>
    <w:rsid w:val="0049785A"/>
    <w:rsid w:val="004B0FD8"/>
    <w:rsid w:val="004B2488"/>
    <w:rsid w:val="004B7CA5"/>
    <w:rsid w:val="004C0A3C"/>
    <w:rsid w:val="004D5F83"/>
    <w:rsid w:val="004D715F"/>
    <w:rsid w:val="004E1718"/>
    <w:rsid w:val="004E54CF"/>
    <w:rsid w:val="004F0067"/>
    <w:rsid w:val="004F1887"/>
    <w:rsid w:val="004F49AB"/>
    <w:rsid w:val="004F61DB"/>
    <w:rsid w:val="00505F57"/>
    <w:rsid w:val="0051061C"/>
    <w:rsid w:val="005109FE"/>
    <w:rsid w:val="005145BF"/>
    <w:rsid w:val="00520FFE"/>
    <w:rsid w:val="005230DB"/>
    <w:rsid w:val="00526A98"/>
    <w:rsid w:val="00531E9F"/>
    <w:rsid w:val="005417BA"/>
    <w:rsid w:val="00544F56"/>
    <w:rsid w:val="0056347B"/>
    <w:rsid w:val="00565885"/>
    <w:rsid w:val="00565EDB"/>
    <w:rsid w:val="005711F0"/>
    <w:rsid w:val="005752FA"/>
    <w:rsid w:val="00577268"/>
    <w:rsid w:val="00581850"/>
    <w:rsid w:val="005836D1"/>
    <w:rsid w:val="00584EF5"/>
    <w:rsid w:val="00585461"/>
    <w:rsid w:val="00591F90"/>
    <w:rsid w:val="005928BB"/>
    <w:rsid w:val="00592B02"/>
    <w:rsid w:val="005944F6"/>
    <w:rsid w:val="00597D7E"/>
    <w:rsid w:val="00597E93"/>
    <w:rsid w:val="005A2FD4"/>
    <w:rsid w:val="005A303F"/>
    <w:rsid w:val="005A7E9A"/>
    <w:rsid w:val="005B54F8"/>
    <w:rsid w:val="005B6402"/>
    <w:rsid w:val="005C626E"/>
    <w:rsid w:val="005C76B1"/>
    <w:rsid w:val="005D194D"/>
    <w:rsid w:val="005D3127"/>
    <w:rsid w:val="005D52F4"/>
    <w:rsid w:val="005D5DBC"/>
    <w:rsid w:val="005D67E9"/>
    <w:rsid w:val="005E03B1"/>
    <w:rsid w:val="005E1FA6"/>
    <w:rsid w:val="005E552A"/>
    <w:rsid w:val="005F5ACE"/>
    <w:rsid w:val="005F6E00"/>
    <w:rsid w:val="00604E01"/>
    <w:rsid w:val="006063B3"/>
    <w:rsid w:val="00610A91"/>
    <w:rsid w:val="006141A4"/>
    <w:rsid w:val="00620024"/>
    <w:rsid w:val="00624BD3"/>
    <w:rsid w:val="006256F7"/>
    <w:rsid w:val="006265BB"/>
    <w:rsid w:val="00630E7A"/>
    <w:rsid w:val="00636797"/>
    <w:rsid w:val="0064139A"/>
    <w:rsid w:val="0064153E"/>
    <w:rsid w:val="00642E59"/>
    <w:rsid w:val="00647823"/>
    <w:rsid w:val="006566AD"/>
    <w:rsid w:val="00657E53"/>
    <w:rsid w:val="006610CC"/>
    <w:rsid w:val="006635AA"/>
    <w:rsid w:val="00664C9F"/>
    <w:rsid w:val="0066679B"/>
    <w:rsid w:val="00672DD6"/>
    <w:rsid w:val="006820DC"/>
    <w:rsid w:val="00683525"/>
    <w:rsid w:val="00685E7F"/>
    <w:rsid w:val="0069417C"/>
    <w:rsid w:val="0069439B"/>
    <w:rsid w:val="00697D21"/>
    <w:rsid w:val="006A3C04"/>
    <w:rsid w:val="006A5086"/>
    <w:rsid w:val="006A581E"/>
    <w:rsid w:val="006B1E6A"/>
    <w:rsid w:val="006B27F2"/>
    <w:rsid w:val="006B456F"/>
    <w:rsid w:val="006B6493"/>
    <w:rsid w:val="006C1E55"/>
    <w:rsid w:val="006C4C44"/>
    <w:rsid w:val="006C6FE0"/>
    <w:rsid w:val="006D1878"/>
    <w:rsid w:val="006D32BB"/>
    <w:rsid w:val="006D58C4"/>
    <w:rsid w:val="006E2A2C"/>
    <w:rsid w:val="006F3CEB"/>
    <w:rsid w:val="006F4D04"/>
    <w:rsid w:val="006F6271"/>
    <w:rsid w:val="006F67A8"/>
    <w:rsid w:val="00701036"/>
    <w:rsid w:val="007019FE"/>
    <w:rsid w:val="007054D7"/>
    <w:rsid w:val="007054F3"/>
    <w:rsid w:val="00713696"/>
    <w:rsid w:val="00717B8F"/>
    <w:rsid w:val="00720537"/>
    <w:rsid w:val="00724297"/>
    <w:rsid w:val="007305F7"/>
    <w:rsid w:val="00740BE6"/>
    <w:rsid w:val="00747273"/>
    <w:rsid w:val="00747E28"/>
    <w:rsid w:val="00751D8D"/>
    <w:rsid w:val="00754279"/>
    <w:rsid w:val="00757AF8"/>
    <w:rsid w:val="00761987"/>
    <w:rsid w:val="00761DC7"/>
    <w:rsid w:val="007629A5"/>
    <w:rsid w:val="00771CC5"/>
    <w:rsid w:val="00773C3F"/>
    <w:rsid w:val="007750F7"/>
    <w:rsid w:val="00780E24"/>
    <w:rsid w:val="00786356"/>
    <w:rsid w:val="007879B0"/>
    <w:rsid w:val="007942CA"/>
    <w:rsid w:val="00797FE6"/>
    <w:rsid w:val="007A0F52"/>
    <w:rsid w:val="007A24AD"/>
    <w:rsid w:val="007A2F45"/>
    <w:rsid w:val="007A6237"/>
    <w:rsid w:val="007B2754"/>
    <w:rsid w:val="007B2FB9"/>
    <w:rsid w:val="007B323A"/>
    <w:rsid w:val="007B7C6A"/>
    <w:rsid w:val="007C2AA7"/>
    <w:rsid w:val="007C2EE7"/>
    <w:rsid w:val="007C5EA8"/>
    <w:rsid w:val="007C7BE7"/>
    <w:rsid w:val="007D0CC1"/>
    <w:rsid w:val="007D3BC7"/>
    <w:rsid w:val="007E0B90"/>
    <w:rsid w:val="007E6EC2"/>
    <w:rsid w:val="008008EA"/>
    <w:rsid w:val="00801D85"/>
    <w:rsid w:val="00804507"/>
    <w:rsid w:val="00806E59"/>
    <w:rsid w:val="0082041C"/>
    <w:rsid w:val="008270CC"/>
    <w:rsid w:val="00830171"/>
    <w:rsid w:val="00831785"/>
    <w:rsid w:val="00831CFC"/>
    <w:rsid w:val="00831FA4"/>
    <w:rsid w:val="00832731"/>
    <w:rsid w:val="00833EDA"/>
    <w:rsid w:val="00842C49"/>
    <w:rsid w:val="008452C1"/>
    <w:rsid w:val="00846727"/>
    <w:rsid w:val="00850A4F"/>
    <w:rsid w:val="0085474A"/>
    <w:rsid w:val="008626DC"/>
    <w:rsid w:val="00867272"/>
    <w:rsid w:val="00870D46"/>
    <w:rsid w:val="00882751"/>
    <w:rsid w:val="008838F7"/>
    <w:rsid w:val="00891567"/>
    <w:rsid w:val="008922B9"/>
    <w:rsid w:val="008951FF"/>
    <w:rsid w:val="008A0633"/>
    <w:rsid w:val="008A30A8"/>
    <w:rsid w:val="008A38F2"/>
    <w:rsid w:val="008A67C8"/>
    <w:rsid w:val="008B0B3F"/>
    <w:rsid w:val="008B199A"/>
    <w:rsid w:val="008B47F7"/>
    <w:rsid w:val="008C1DA1"/>
    <w:rsid w:val="008C33EC"/>
    <w:rsid w:val="008D01F2"/>
    <w:rsid w:val="008D08E7"/>
    <w:rsid w:val="008D21E0"/>
    <w:rsid w:val="008D765C"/>
    <w:rsid w:val="008E073B"/>
    <w:rsid w:val="008E1A09"/>
    <w:rsid w:val="008E3FBC"/>
    <w:rsid w:val="008E4269"/>
    <w:rsid w:val="008E6666"/>
    <w:rsid w:val="008E69E8"/>
    <w:rsid w:val="008E7CDD"/>
    <w:rsid w:val="008F0DCA"/>
    <w:rsid w:val="008F364A"/>
    <w:rsid w:val="008F7357"/>
    <w:rsid w:val="008F7B22"/>
    <w:rsid w:val="00900EFE"/>
    <w:rsid w:val="00903143"/>
    <w:rsid w:val="009065EA"/>
    <w:rsid w:val="009106B2"/>
    <w:rsid w:val="00911A4E"/>
    <w:rsid w:val="009145C0"/>
    <w:rsid w:val="00915ED2"/>
    <w:rsid w:val="0092133B"/>
    <w:rsid w:val="00924BD4"/>
    <w:rsid w:val="00937BB3"/>
    <w:rsid w:val="00937F19"/>
    <w:rsid w:val="00946726"/>
    <w:rsid w:val="0095604D"/>
    <w:rsid w:val="009569F6"/>
    <w:rsid w:val="009609E0"/>
    <w:rsid w:val="0096740D"/>
    <w:rsid w:val="00976A37"/>
    <w:rsid w:val="00977964"/>
    <w:rsid w:val="00987E06"/>
    <w:rsid w:val="0099261B"/>
    <w:rsid w:val="009963D1"/>
    <w:rsid w:val="00996981"/>
    <w:rsid w:val="009A5AFB"/>
    <w:rsid w:val="009C0865"/>
    <w:rsid w:val="009C2259"/>
    <w:rsid w:val="009D5534"/>
    <w:rsid w:val="009E1539"/>
    <w:rsid w:val="009E3CC6"/>
    <w:rsid w:val="009E4661"/>
    <w:rsid w:val="009E4929"/>
    <w:rsid w:val="009F5EBC"/>
    <w:rsid w:val="00A025F1"/>
    <w:rsid w:val="00A0721C"/>
    <w:rsid w:val="00A07451"/>
    <w:rsid w:val="00A15468"/>
    <w:rsid w:val="00A2079A"/>
    <w:rsid w:val="00A2417E"/>
    <w:rsid w:val="00A27293"/>
    <w:rsid w:val="00A32D5C"/>
    <w:rsid w:val="00A35246"/>
    <w:rsid w:val="00A4164C"/>
    <w:rsid w:val="00A47CEE"/>
    <w:rsid w:val="00A51ACF"/>
    <w:rsid w:val="00A541D5"/>
    <w:rsid w:val="00A664F9"/>
    <w:rsid w:val="00A66917"/>
    <w:rsid w:val="00A77827"/>
    <w:rsid w:val="00A82E57"/>
    <w:rsid w:val="00AA4976"/>
    <w:rsid w:val="00AB0617"/>
    <w:rsid w:val="00AB2D77"/>
    <w:rsid w:val="00AB611E"/>
    <w:rsid w:val="00AD02FF"/>
    <w:rsid w:val="00AD1BA0"/>
    <w:rsid w:val="00AD5255"/>
    <w:rsid w:val="00AE1EA0"/>
    <w:rsid w:val="00AE3B2A"/>
    <w:rsid w:val="00AF06CB"/>
    <w:rsid w:val="00B00A3C"/>
    <w:rsid w:val="00B129B9"/>
    <w:rsid w:val="00B13BBE"/>
    <w:rsid w:val="00B1583B"/>
    <w:rsid w:val="00B21272"/>
    <w:rsid w:val="00B21608"/>
    <w:rsid w:val="00B225D1"/>
    <w:rsid w:val="00B25A8E"/>
    <w:rsid w:val="00B328EF"/>
    <w:rsid w:val="00B35739"/>
    <w:rsid w:val="00B42427"/>
    <w:rsid w:val="00B42C98"/>
    <w:rsid w:val="00B4715D"/>
    <w:rsid w:val="00B50180"/>
    <w:rsid w:val="00B5631B"/>
    <w:rsid w:val="00B577B7"/>
    <w:rsid w:val="00B64DFE"/>
    <w:rsid w:val="00B7266D"/>
    <w:rsid w:val="00B7502D"/>
    <w:rsid w:val="00B75EB0"/>
    <w:rsid w:val="00B77468"/>
    <w:rsid w:val="00B86CCA"/>
    <w:rsid w:val="00B95180"/>
    <w:rsid w:val="00B96002"/>
    <w:rsid w:val="00B973E7"/>
    <w:rsid w:val="00BA6993"/>
    <w:rsid w:val="00BA71A6"/>
    <w:rsid w:val="00BB1C34"/>
    <w:rsid w:val="00BB4DE8"/>
    <w:rsid w:val="00BB6225"/>
    <w:rsid w:val="00BB63C4"/>
    <w:rsid w:val="00BC1F1A"/>
    <w:rsid w:val="00BC42A8"/>
    <w:rsid w:val="00BC492E"/>
    <w:rsid w:val="00BC4969"/>
    <w:rsid w:val="00BC53F9"/>
    <w:rsid w:val="00BC63F1"/>
    <w:rsid w:val="00BC6783"/>
    <w:rsid w:val="00BD149E"/>
    <w:rsid w:val="00BE2289"/>
    <w:rsid w:val="00BE64B3"/>
    <w:rsid w:val="00BF01DE"/>
    <w:rsid w:val="00BF0D61"/>
    <w:rsid w:val="00BF43C3"/>
    <w:rsid w:val="00C023E7"/>
    <w:rsid w:val="00C02E3D"/>
    <w:rsid w:val="00C051D9"/>
    <w:rsid w:val="00C1010F"/>
    <w:rsid w:val="00C102DD"/>
    <w:rsid w:val="00C12F4D"/>
    <w:rsid w:val="00C142A6"/>
    <w:rsid w:val="00C17975"/>
    <w:rsid w:val="00C34488"/>
    <w:rsid w:val="00C40860"/>
    <w:rsid w:val="00C42443"/>
    <w:rsid w:val="00C439B8"/>
    <w:rsid w:val="00C56247"/>
    <w:rsid w:val="00C56BFD"/>
    <w:rsid w:val="00C6692A"/>
    <w:rsid w:val="00C66FFB"/>
    <w:rsid w:val="00C677D0"/>
    <w:rsid w:val="00C71430"/>
    <w:rsid w:val="00C72321"/>
    <w:rsid w:val="00C73834"/>
    <w:rsid w:val="00C743D4"/>
    <w:rsid w:val="00C773C5"/>
    <w:rsid w:val="00C77F28"/>
    <w:rsid w:val="00C80134"/>
    <w:rsid w:val="00C84F43"/>
    <w:rsid w:val="00C85D66"/>
    <w:rsid w:val="00C96305"/>
    <w:rsid w:val="00CA4093"/>
    <w:rsid w:val="00CB4429"/>
    <w:rsid w:val="00CC2819"/>
    <w:rsid w:val="00CC4321"/>
    <w:rsid w:val="00CC5BCF"/>
    <w:rsid w:val="00CC7698"/>
    <w:rsid w:val="00CC77BD"/>
    <w:rsid w:val="00CD1047"/>
    <w:rsid w:val="00CD10EF"/>
    <w:rsid w:val="00CE033F"/>
    <w:rsid w:val="00CE361C"/>
    <w:rsid w:val="00CF50A4"/>
    <w:rsid w:val="00CF56CB"/>
    <w:rsid w:val="00D002E6"/>
    <w:rsid w:val="00D05E87"/>
    <w:rsid w:val="00D07AC6"/>
    <w:rsid w:val="00D11DF5"/>
    <w:rsid w:val="00D17DCB"/>
    <w:rsid w:val="00D23813"/>
    <w:rsid w:val="00D27FEA"/>
    <w:rsid w:val="00D31242"/>
    <w:rsid w:val="00D320C2"/>
    <w:rsid w:val="00D32997"/>
    <w:rsid w:val="00D335CF"/>
    <w:rsid w:val="00D3455E"/>
    <w:rsid w:val="00D347DD"/>
    <w:rsid w:val="00D36146"/>
    <w:rsid w:val="00D370F1"/>
    <w:rsid w:val="00D42AD9"/>
    <w:rsid w:val="00D472EB"/>
    <w:rsid w:val="00D54104"/>
    <w:rsid w:val="00D543F1"/>
    <w:rsid w:val="00D55035"/>
    <w:rsid w:val="00D56693"/>
    <w:rsid w:val="00D60ED9"/>
    <w:rsid w:val="00D670B2"/>
    <w:rsid w:val="00D77FF0"/>
    <w:rsid w:val="00D81E19"/>
    <w:rsid w:val="00D84A69"/>
    <w:rsid w:val="00D85049"/>
    <w:rsid w:val="00DA1406"/>
    <w:rsid w:val="00DA4B8E"/>
    <w:rsid w:val="00DA4D53"/>
    <w:rsid w:val="00DC173C"/>
    <w:rsid w:val="00DC1ACA"/>
    <w:rsid w:val="00DC2C86"/>
    <w:rsid w:val="00DD2644"/>
    <w:rsid w:val="00DD4298"/>
    <w:rsid w:val="00DD4DF9"/>
    <w:rsid w:val="00DD516D"/>
    <w:rsid w:val="00DE0670"/>
    <w:rsid w:val="00DE2A4B"/>
    <w:rsid w:val="00DE4CCC"/>
    <w:rsid w:val="00DE609A"/>
    <w:rsid w:val="00DE7AFB"/>
    <w:rsid w:val="00DF441A"/>
    <w:rsid w:val="00DF60B0"/>
    <w:rsid w:val="00E07E66"/>
    <w:rsid w:val="00E11813"/>
    <w:rsid w:val="00E12388"/>
    <w:rsid w:val="00E23214"/>
    <w:rsid w:val="00E23280"/>
    <w:rsid w:val="00E33D40"/>
    <w:rsid w:val="00E34C6D"/>
    <w:rsid w:val="00E40A4E"/>
    <w:rsid w:val="00E41ADB"/>
    <w:rsid w:val="00E422C3"/>
    <w:rsid w:val="00E42EE5"/>
    <w:rsid w:val="00E445B9"/>
    <w:rsid w:val="00E47CFB"/>
    <w:rsid w:val="00E5003C"/>
    <w:rsid w:val="00E51649"/>
    <w:rsid w:val="00E549F6"/>
    <w:rsid w:val="00E564B2"/>
    <w:rsid w:val="00E5703E"/>
    <w:rsid w:val="00E67365"/>
    <w:rsid w:val="00E705BE"/>
    <w:rsid w:val="00E72DF2"/>
    <w:rsid w:val="00E735F3"/>
    <w:rsid w:val="00E735F4"/>
    <w:rsid w:val="00E737D3"/>
    <w:rsid w:val="00E909DE"/>
    <w:rsid w:val="00E91FF3"/>
    <w:rsid w:val="00E928E1"/>
    <w:rsid w:val="00E92D04"/>
    <w:rsid w:val="00E9490D"/>
    <w:rsid w:val="00E94C87"/>
    <w:rsid w:val="00E96845"/>
    <w:rsid w:val="00EA1AFA"/>
    <w:rsid w:val="00EA308D"/>
    <w:rsid w:val="00EA569D"/>
    <w:rsid w:val="00EB4377"/>
    <w:rsid w:val="00EC1211"/>
    <w:rsid w:val="00EC273E"/>
    <w:rsid w:val="00EC3E3A"/>
    <w:rsid w:val="00EC7DE4"/>
    <w:rsid w:val="00ED3A3F"/>
    <w:rsid w:val="00ED3A4E"/>
    <w:rsid w:val="00ED7D99"/>
    <w:rsid w:val="00EE0F86"/>
    <w:rsid w:val="00EE5D35"/>
    <w:rsid w:val="00EE6AA6"/>
    <w:rsid w:val="00EF0264"/>
    <w:rsid w:val="00EF6D32"/>
    <w:rsid w:val="00F00202"/>
    <w:rsid w:val="00F01BE1"/>
    <w:rsid w:val="00F0252F"/>
    <w:rsid w:val="00F044FF"/>
    <w:rsid w:val="00F0763A"/>
    <w:rsid w:val="00F10F35"/>
    <w:rsid w:val="00F229A3"/>
    <w:rsid w:val="00F243DE"/>
    <w:rsid w:val="00F251DB"/>
    <w:rsid w:val="00F261DA"/>
    <w:rsid w:val="00F27155"/>
    <w:rsid w:val="00F27DC5"/>
    <w:rsid w:val="00F40474"/>
    <w:rsid w:val="00F4200B"/>
    <w:rsid w:val="00F446E3"/>
    <w:rsid w:val="00F4613C"/>
    <w:rsid w:val="00F471EF"/>
    <w:rsid w:val="00F47792"/>
    <w:rsid w:val="00F50B84"/>
    <w:rsid w:val="00F527EA"/>
    <w:rsid w:val="00F53BCA"/>
    <w:rsid w:val="00F64D78"/>
    <w:rsid w:val="00F666F6"/>
    <w:rsid w:val="00F67184"/>
    <w:rsid w:val="00F70071"/>
    <w:rsid w:val="00F7405B"/>
    <w:rsid w:val="00F74383"/>
    <w:rsid w:val="00F7533D"/>
    <w:rsid w:val="00F7718C"/>
    <w:rsid w:val="00F838CE"/>
    <w:rsid w:val="00F83F53"/>
    <w:rsid w:val="00F847E6"/>
    <w:rsid w:val="00F87711"/>
    <w:rsid w:val="00F947F2"/>
    <w:rsid w:val="00F95B1D"/>
    <w:rsid w:val="00F97A4F"/>
    <w:rsid w:val="00FA145D"/>
    <w:rsid w:val="00FA3F3C"/>
    <w:rsid w:val="00FA62C4"/>
    <w:rsid w:val="00FB20E4"/>
    <w:rsid w:val="00FB20F2"/>
    <w:rsid w:val="00FB2DD5"/>
    <w:rsid w:val="00FB3501"/>
    <w:rsid w:val="00FB7D83"/>
    <w:rsid w:val="00FC36DF"/>
    <w:rsid w:val="00FC486C"/>
    <w:rsid w:val="00FC4DDA"/>
    <w:rsid w:val="00FC7028"/>
    <w:rsid w:val="00FC7B34"/>
    <w:rsid w:val="00FD2020"/>
    <w:rsid w:val="00FD7BC9"/>
    <w:rsid w:val="00FE0087"/>
    <w:rsid w:val="00FE773B"/>
    <w:rsid w:val="00FF05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BC3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8640"/>
      </w:tabs>
      <w:jc w:val="both"/>
    </w:pPr>
    <w:rPr>
      <w:rFonts w:ascii="Arial" w:hAnsi="Arial" w:cs="Arial"/>
      <w:spacing w:val="-2"/>
      <w:sz w:val="24"/>
      <w:szCs w:val="24"/>
      <w:lang w:eastAsia="en-US"/>
    </w:rPr>
  </w:style>
  <w:style w:type="paragraph" w:styleId="Ttulo1">
    <w:name w:val="heading 1"/>
    <w:basedOn w:val="Normal"/>
    <w:next w:val="Textoindependiente"/>
    <w:qFormat/>
    <w:rsid w:val="009E1539"/>
    <w:pPr>
      <w:keepNext/>
      <w:spacing w:before="280" w:line="360" w:lineRule="auto"/>
      <w:jc w:val="left"/>
      <w:outlineLvl w:val="0"/>
    </w:pPr>
    <w:rPr>
      <w:b/>
      <w:sz w:val="28"/>
    </w:rPr>
  </w:style>
  <w:style w:type="paragraph" w:styleId="Ttulo2">
    <w:name w:val="heading 2"/>
    <w:basedOn w:val="Normal"/>
    <w:next w:val="Textoindependiente"/>
    <w:link w:val="Ttulo2Car"/>
    <w:qFormat/>
    <w:rsid w:val="00E5003C"/>
    <w:pPr>
      <w:keepNext/>
      <w:spacing w:line="360" w:lineRule="auto"/>
      <w:jc w:val="left"/>
      <w:outlineLvl w:val="1"/>
    </w:pPr>
    <w:rPr>
      <w:rFonts w:cs="Times New Roman"/>
      <w:b/>
      <w:kern w:val="28"/>
      <w:szCs w:val="20"/>
    </w:rPr>
  </w:style>
  <w:style w:type="paragraph" w:styleId="Ttulo3">
    <w:name w:val="heading 3"/>
    <w:basedOn w:val="Normal"/>
    <w:next w:val="Textoindependiente"/>
    <w:link w:val="Ttulo3Car"/>
    <w:qFormat/>
    <w:rsid w:val="00282824"/>
    <w:pPr>
      <w:keepNext/>
      <w:spacing w:line="360" w:lineRule="auto"/>
      <w:jc w:val="left"/>
      <w:outlineLvl w:val="2"/>
    </w:pPr>
    <w:rPr>
      <w:rFonts w:cs="Times New Roman"/>
      <w:b/>
      <w:spacing w:val="0"/>
      <w:kern w:val="28"/>
      <w:szCs w:val="20"/>
    </w:rPr>
  </w:style>
  <w:style w:type="paragraph" w:styleId="Ttulo4">
    <w:name w:val="heading 4"/>
    <w:basedOn w:val="Normal"/>
    <w:next w:val="Textoindependiente"/>
    <w:qFormat/>
    <w:pPr>
      <w:keepNext/>
      <w:spacing w:line="360" w:lineRule="auto"/>
      <w:jc w:val="left"/>
      <w:outlineLvl w:val="3"/>
    </w:pPr>
    <w:rPr>
      <w:i/>
      <w:spacing w:val="0"/>
      <w:kern w:val="28"/>
    </w:rPr>
  </w:style>
  <w:style w:type="paragraph" w:styleId="Ttulo5">
    <w:name w:val="heading 5"/>
    <w:basedOn w:val="Normal"/>
    <w:next w:val="Textoindependiente"/>
    <w:qFormat/>
    <w:pPr>
      <w:keepNext/>
      <w:spacing w:line="360" w:lineRule="auto"/>
      <w:jc w:val="center"/>
      <w:outlineLvl w:val="4"/>
    </w:pPr>
    <w:rPr>
      <w:i/>
      <w:spacing w:val="0"/>
      <w:kern w:val="28"/>
    </w:rPr>
  </w:style>
  <w:style w:type="paragraph" w:styleId="Ttulo6">
    <w:name w:val="heading 6"/>
    <w:basedOn w:val="Normal"/>
    <w:next w:val="Textoindependiente"/>
    <w:qFormat/>
    <w:pPr>
      <w:keepNext/>
      <w:spacing w:before="120" w:after="80"/>
      <w:jc w:val="center"/>
      <w:outlineLvl w:val="5"/>
    </w:pPr>
    <w:rPr>
      <w:smallCaps/>
      <w:spacing w:val="20"/>
      <w:kern w:val="28"/>
    </w:rPr>
  </w:style>
  <w:style w:type="paragraph" w:styleId="Ttulo7">
    <w:name w:val="heading 7"/>
    <w:basedOn w:val="Normal"/>
    <w:next w:val="Textoindependiente"/>
    <w:qFormat/>
    <w:pPr>
      <w:keepNext/>
      <w:spacing w:before="80" w:after="60"/>
      <w:outlineLvl w:val="6"/>
    </w:pPr>
    <w:rPr>
      <w:caps/>
      <w:spacing w:val="0"/>
      <w:kern w:val="28"/>
    </w:rPr>
  </w:style>
  <w:style w:type="paragraph" w:styleId="Ttulo8">
    <w:name w:val="heading 8"/>
    <w:basedOn w:val="Normal"/>
    <w:next w:val="Textoindependiente"/>
    <w:qFormat/>
    <w:pPr>
      <w:keepNext/>
      <w:spacing w:line="360" w:lineRule="auto"/>
      <w:jc w:val="center"/>
      <w:outlineLvl w:val="7"/>
    </w:pPr>
    <w:rPr>
      <w:kern w:val="28"/>
    </w:rPr>
  </w:style>
  <w:style w:type="paragraph" w:styleId="Ttulo9">
    <w:name w:val="heading 9"/>
    <w:basedOn w:val="Normal"/>
    <w:next w:val="Textoindependiente"/>
    <w:qFormat/>
    <w:pPr>
      <w:keepNext/>
      <w:spacing w:line="360" w:lineRule="auto"/>
      <w:jc w:val="left"/>
      <w:outlineLvl w:val="8"/>
    </w:pPr>
    <w:rPr>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280" w:line="360" w:lineRule="auto"/>
    </w:pPr>
  </w:style>
  <w:style w:type="character" w:styleId="Refdecomentario">
    <w:name w:val="annotation reference"/>
    <w:semiHidden/>
    <w:rPr>
      <w:sz w:val="16"/>
    </w:rPr>
  </w:style>
  <w:style w:type="paragraph" w:styleId="Textocomentario">
    <w:name w:val="annotation text"/>
    <w:basedOn w:val="Normal"/>
    <w:semiHidden/>
    <w:pPr>
      <w:tabs>
        <w:tab w:val="left" w:pos="187"/>
      </w:tabs>
      <w:spacing w:after="120" w:line="220" w:lineRule="exact"/>
      <w:ind w:left="187" w:hanging="187"/>
    </w:pPr>
  </w:style>
  <w:style w:type="paragraph" w:customStyle="1" w:styleId="Autor">
    <w:name w:val="Autor"/>
    <w:basedOn w:val="Textoindependiente"/>
    <w:pPr>
      <w:spacing w:after="0" w:line="480" w:lineRule="auto"/>
      <w:jc w:val="center"/>
    </w:pPr>
  </w:style>
  <w:style w:type="paragraph" w:customStyle="1" w:styleId="Cita1">
    <w:name w:val="Cita1"/>
    <w:basedOn w:val="Textoindependiente"/>
    <w:qFormat/>
    <w:pPr>
      <w:keepLines/>
      <w:spacing w:after="160" w:line="480" w:lineRule="auto"/>
      <w:ind w:left="720" w:right="720"/>
    </w:pPr>
    <w:rPr>
      <w:i/>
    </w:rPr>
  </w:style>
  <w:style w:type="paragraph" w:styleId="Sangradetextonormal">
    <w:name w:val="Body Text Indent"/>
    <w:basedOn w:val="Textoindependiente"/>
    <w:pPr>
      <w:spacing w:after="0" w:line="240" w:lineRule="auto"/>
      <w:ind w:left="360" w:hanging="360"/>
      <w:jc w:val="left"/>
    </w:pPr>
  </w:style>
  <w:style w:type="paragraph" w:customStyle="1" w:styleId="Tindependientemantenido">
    <w:name w:val="T. independiente mantenido"/>
    <w:basedOn w:val="Textoindependiente"/>
    <w:pPr>
      <w:keepNext/>
    </w:pPr>
  </w:style>
  <w:style w:type="paragraph" w:styleId="Descripcin">
    <w:name w:val="caption"/>
    <w:basedOn w:val="Normal"/>
    <w:next w:val="Textoindependiente"/>
    <w:qFormat/>
    <w:pPr>
      <w:spacing w:after="560"/>
      <w:ind w:left="1920" w:right="1920"/>
    </w:pPr>
    <w:rPr>
      <w:spacing w:val="0"/>
      <w:sz w:val="18"/>
    </w:rPr>
  </w:style>
  <w:style w:type="paragraph" w:customStyle="1" w:styleId="Rtulodecaptulo">
    <w:name w:val="Rótulo de capítulo"/>
    <w:basedOn w:val="Normal"/>
    <w:next w:val="Normal"/>
    <w:pPr>
      <w:keepNext/>
      <w:pageBreakBefore/>
      <w:spacing w:after="560"/>
      <w:jc w:val="center"/>
    </w:pPr>
    <w:rPr>
      <w:i/>
      <w:spacing w:val="70"/>
      <w:sz w:val="22"/>
    </w:rPr>
  </w:style>
  <w:style w:type="paragraph" w:customStyle="1" w:styleId="Subttulodecaptulo">
    <w:name w:val="Subtítulo de capítulo"/>
    <w:basedOn w:val="Normal"/>
    <w:next w:val="Textoindependiente"/>
    <w:pPr>
      <w:keepNext/>
      <w:keepLines/>
      <w:spacing w:after="280"/>
      <w:jc w:val="center"/>
    </w:pPr>
    <w:rPr>
      <w:spacing w:val="2"/>
      <w:kern w:val="28"/>
    </w:rPr>
  </w:style>
  <w:style w:type="paragraph" w:customStyle="1" w:styleId="Ttulodecaptulo">
    <w:name w:val="Título de capítulo"/>
    <w:basedOn w:val="Normal"/>
    <w:next w:val="Subttulodecaptulo"/>
    <w:pPr>
      <w:keepNext/>
      <w:keepLines/>
      <w:spacing w:before="560" w:after="560"/>
      <w:jc w:val="center"/>
    </w:pPr>
    <w:rPr>
      <w:caps/>
      <w:spacing w:val="2"/>
      <w:kern w:val="28"/>
    </w:rPr>
  </w:style>
  <w:style w:type="paragraph" w:styleId="Fecha">
    <w:name w:val="Date"/>
    <w:basedOn w:val="Textoindependiente"/>
    <w:pPr>
      <w:spacing w:after="560"/>
      <w:jc w:val="center"/>
    </w:pPr>
  </w:style>
  <w:style w:type="character" w:styleId="nfasis">
    <w:name w:val="Emphasis"/>
    <w:qFormat/>
    <w:rPr>
      <w:i/>
    </w:rPr>
  </w:style>
  <w:style w:type="character" w:styleId="Refdenotaalfinal">
    <w:name w:val="endnote reference"/>
    <w:semiHidden/>
    <w:rsid w:val="006F3CEB"/>
    <w:rPr>
      <w:rFonts w:ascii="Arial" w:hAnsi="Arial"/>
      <w:dstrike w:val="0"/>
      <w:sz w:val="24"/>
      <w:szCs w:val="24"/>
      <w:vertAlign w:val="superscript"/>
    </w:rPr>
  </w:style>
  <w:style w:type="paragraph" w:styleId="Textonotaalfinal">
    <w:name w:val="endnote text"/>
    <w:basedOn w:val="Normal"/>
    <w:semiHidden/>
    <w:rsid w:val="00C72321"/>
    <w:pPr>
      <w:tabs>
        <w:tab w:val="left" w:pos="187"/>
      </w:tabs>
      <w:spacing w:after="120" w:line="480" w:lineRule="auto"/>
      <w:ind w:left="187" w:hanging="187"/>
    </w:pPr>
  </w:style>
  <w:style w:type="paragraph" w:styleId="Piedepgina">
    <w:name w:val="footer"/>
    <w:basedOn w:val="Normal"/>
    <w:pPr>
      <w:keepLines/>
      <w:tabs>
        <w:tab w:val="center" w:pos="4320"/>
      </w:tabs>
      <w:jc w:val="center"/>
    </w:pPr>
  </w:style>
  <w:style w:type="paragraph" w:customStyle="1" w:styleId="Piedepginapar">
    <w:name w:val="Pie de página par"/>
    <w:basedOn w:val="Piedepgina"/>
  </w:style>
  <w:style w:type="paragraph" w:customStyle="1" w:styleId="Piedepginaprimera">
    <w:name w:val="Pie de página primera"/>
    <w:basedOn w:val="Piedepgina"/>
    <w:pPr>
      <w:tabs>
        <w:tab w:val="clear" w:pos="8640"/>
      </w:tabs>
    </w:pPr>
  </w:style>
  <w:style w:type="paragraph" w:customStyle="1" w:styleId="Piedepginaimpar">
    <w:name w:val="Pie de página impar"/>
    <w:basedOn w:val="Piedepgina"/>
    <w:pPr>
      <w:tabs>
        <w:tab w:val="right" w:pos="0"/>
      </w:tabs>
    </w:pPr>
  </w:style>
  <w:style w:type="paragraph" w:customStyle="1" w:styleId="Notaalpie-base">
    <w:name w:val="Nota al pie - base"/>
    <w:basedOn w:val="Normal"/>
    <w:pPr>
      <w:tabs>
        <w:tab w:val="left" w:pos="187"/>
      </w:tabs>
      <w:spacing w:line="220" w:lineRule="exact"/>
      <w:ind w:left="187" w:hanging="187"/>
    </w:pPr>
    <w:rPr>
      <w:sz w:val="18"/>
    </w:rPr>
  </w:style>
  <w:style w:type="character" w:styleId="Refdenotaalpie">
    <w:name w:val="footnote reference"/>
    <w:semiHidden/>
    <w:rPr>
      <w:vertAlign w:val="superscript"/>
    </w:rPr>
  </w:style>
  <w:style w:type="paragraph" w:styleId="Textonotapie">
    <w:name w:val="footnote text"/>
    <w:basedOn w:val="Notaalpie-base"/>
    <w:semiHidden/>
    <w:pPr>
      <w:spacing w:after="120"/>
    </w:pPr>
  </w:style>
  <w:style w:type="paragraph" w:customStyle="1" w:styleId="Definicindeglosario">
    <w:name w:val="Definición de glosario"/>
    <w:basedOn w:val="Textoindependiente"/>
    <w:pPr>
      <w:spacing w:line="240" w:lineRule="auto"/>
    </w:pPr>
  </w:style>
  <w:style w:type="character" w:customStyle="1" w:styleId="Entradadeglosario">
    <w:name w:val="Entrada de glosario"/>
    <w:rPr>
      <w:b/>
    </w:rPr>
  </w:style>
  <w:style w:type="paragraph" w:styleId="Encabezado">
    <w:name w:val="header"/>
    <w:basedOn w:val="Normal"/>
    <w:pPr>
      <w:keepLines/>
      <w:tabs>
        <w:tab w:val="center" w:pos="4320"/>
      </w:tabs>
      <w:jc w:val="center"/>
    </w:pPr>
  </w:style>
  <w:style w:type="paragraph" w:customStyle="1" w:styleId="Encabezado-base">
    <w:name w:val="Encabezado - base"/>
    <w:basedOn w:val="Normal"/>
    <w:pPr>
      <w:keepLines/>
      <w:tabs>
        <w:tab w:val="center" w:pos="4320"/>
      </w:tabs>
      <w:jc w:val="center"/>
    </w:pPr>
  </w:style>
  <w:style w:type="paragraph" w:customStyle="1" w:styleId="Encabezadopar">
    <w:name w:val="Encabezado par"/>
    <w:basedOn w:val="Encabezado"/>
  </w:style>
  <w:style w:type="paragraph" w:customStyle="1" w:styleId="Encabezadoprimero">
    <w:name w:val="Encabezado primero"/>
    <w:basedOn w:val="Encabezado"/>
    <w:pPr>
      <w:tabs>
        <w:tab w:val="clear" w:pos="8640"/>
      </w:tabs>
    </w:pPr>
  </w:style>
  <w:style w:type="paragraph" w:customStyle="1" w:styleId="Encabezadoimpar">
    <w:name w:val="Encabezado impar"/>
    <w:basedOn w:val="Encabezado"/>
    <w:pPr>
      <w:tabs>
        <w:tab w:val="right" w:pos="0"/>
      </w:tabs>
    </w:pPr>
  </w:style>
  <w:style w:type="paragraph" w:customStyle="1" w:styleId="Ttulo-base">
    <w:name w:val="Título - base"/>
    <w:basedOn w:val="Normal"/>
    <w:next w:val="Textoindependiente"/>
    <w:pPr>
      <w:keepNext/>
      <w:keepLines/>
      <w:spacing w:line="360" w:lineRule="auto"/>
      <w:jc w:val="left"/>
    </w:pPr>
    <w:rPr>
      <w:b/>
      <w:kern w:val="28"/>
    </w:rPr>
  </w:style>
  <w:style w:type="paragraph" w:styleId="ndice1">
    <w:name w:val="index 1"/>
    <w:basedOn w:val="Normal"/>
    <w:semiHidden/>
    <w:pPr>
      <w:tabs>
        <w:tab w:val="right" w:leader="dot" w:pos="3960"/>
      </w:tabs>
      <w:ind w:left="720" w:hanging="720"/>
      <w:jc w:val="left"/>
    </w:pPr>
    <w:rPr>
      <w:sz w:val="20"/>
    </w:rPr>
  </w:style>
  <w:style w:type="paragraph" w:styleId="ndice2">
    <w:name w:val="index 2"/>
    <w:basedOn w:val="Normal"/>
    <w:semiHidden/>
    <w:pPr>
      <w:tabs>
        <w:tab w:val="right" w:leader="dot" w:pos="3960"/>
      </w:tabs>
      <w:ind w:left="900" w:hanging="720"/>
      <w:jc w:val="left"/>
    </w:pPr>
    <w:rPr>
      <w:sz w:val="20"/>
    </w:rPr>
  </w:style>
  <w:style w:type="paragraph" w:styleId="ndice3">
    <w:name w:val="index 3"/>
    <w:basedOn w:val="Normal"/>
    <w:semiHidden/>
    <w:pPr>
      <w:tabs>
        <w:tab w:val="right" w:leader="dot" w:pos="3960"/>
      </w:tabs>
      <w:ind w:left="1080" w:hanging="720"/>
    </w:pPr>
    <w:rPr>
      <w:spacing w:val="0"/>
      <w:sz w:val="20"/>
    </w:rPr>
  </w:style>
  <w:style w:type="paragraph" w:styleId="ndice4">
    <w:name w:val="index 4"/>
    <w:basedOn w:val="Normal"/>
    <w:semiHidden/>
    <w:pPr>
      <w:tabs>
        <w:tab w:val="right" w:leader="dot" w:pos="3960"/>
      </w:tabs>
      <w:ind w:left="1080" w:hanging="720"/>
    </w:pPr>
    <w:rPr>
      <w:i/>
      <w:spacing w:val="0"/>
      <w:sz w:val="20"/>
    </w:rPr>
  </w:style>
  <w:style w:type="paragraph" w:styleId="ndice5">
    <w:name w:val="index 5"/>
    <w:basedOn w:val="Normal"/>
    <w:semiHidden/>
    <w:pPr>
      <w:tabs>
        <w:tab w:val="right" w:leader="dot" w:pos="3960"/>
      </w:tabs>
      <w:ind w:left="1080" w:hanging="720"/>
    </w:pPr>
    <w:rPr>
      <w:i/>
      <w:spacing w:val="0"/>
      <w:sz w:val="20"/>
    </w:rPr>
  </w:style>
  <w:style w:type="paragraph" w:customStyle="1" w:styleId="ndice-base">
    <w:name w:val="Índice - base"/>
    <w:basedOn w:val="Normal"/>
    <w:pPr>
      <w:tabs>
        <w:tab w:val="right" w:leader="dot" w:pos="3960"/>
      </w:tabs>
      <w:ind w:left="720" w:hanging="720"/>
    </w:pPr>
    <w:rPr>
      <w:spacing w:val="0"/>
      <w:sz w:val="20"/>
    </w:rPr>
  </w:style>
  <w:style w:type="paragraph" w:styleId="Ttulodendice">
    <w:name w:val="index heading"/>
    <w:basedOn w:val="Normal"/>
    <w:next w:val="ndice1"/>
    <w:semiHidden/>
    <w:pPr>
      <w:keepNext/>
      <w:spacing w:before="280"/>
    </w:pPr>
    <w:rPr>
      <w:kern w:val="28"/>
      <w:sz w:val="27"/>
    </w:rPr>
  </w:style>
  <w:style w:type="character" w:customStyle="1" w:styleId="Rtuloconnfasis">
    <w:name w:val="Rótulo con énfasis"/>
    <w:rPr>
      <w:caps/>
      <w:spacing w:val="0"/>
    </w:rPr>
  </w:style>
  <w:style w:type="character" w:styleId="Nmerodelnea">
    <w:name w:val="line number"/>
  </w:style>
  <w:style w:type="paragraph" w:styleId="Lista">
    <w:name w:val="List"/>
    <w:basedOn w:val="Textoindependiente"/>
    <w:pPr>
      <w:tabs>
        <w:tab w:val="left" w:pos="720"/>
      </w:tabs>
      <w:spacing w:after="80"/>
      <w:ind w:left="720" w:hanging="360"/>
    </w:pPr>
  </w:style>
  <w:style w:type="paragraph" w:styleId="Lista2">
    <w:name w:val="List 2"/>
    <w:basedOn w:val="Lista"/>
    <w:pPr>
      <w:tabs>
        <w:tab w:val="clear" w:pos="720"/>
        <w:tab w:val="left" w:pos="1080"/>
      </w:tabs>
      <w:ind w:left="1080"/>
    </w:pPr>
  </w:style>
  <w:style w:type="paragraph" w:styleId="Lista3">
    <w:name w:val="List 3"/>
    <w:basedOn w:val="Lista"/>
    <w:pPr>
      <w:tabs>
        <w:tab w:val="clear" w:pos="720"/>
        <w:tab w:val="left" w:pos="1440"/>
      </w:tabs>
      <w:ind w:left="1440"/>
    </w:pPr>
  </w:style>
  <w:style w:type="paragraph" w:styleId="Lista4">
    <w:name w:val="List 4"/>
    <w:basedOn w:val="Lista"/>
    <w:pPr>
      <w:tabs>
        <w:tab w:val="clear" w:pos="720"/>
        <w:tab w:val="left" w:pos="1800"/>
      </w:tabs>
      <w:ind w:left="1800"/>
    </w:pPr>
  </w:style>
  <w:style w:type="paragraph" w:styleId="Lista5">
    <w:name w:val="List 5"/>
    <w:basedOn w:val="Lista"/>
    <w:pPr>
      <w:tabs>
        <w:tab w:val="clear" w:pos="720"/>
        <w:tab w:val="left" w:pos="2160"/>
      </w:tabs>
      <w:ind w:left="2160"/>
    </w:pPr>
  </w:style>
  <w:style w:type="paragraph" w:styleId="Continuarlista">
    <w:name w:val="List Continue"/>
    <w:basedOn w:val="Lista"/>
    <w:pPr>
      <w:tabs>
        <w:tab w:val="clear" w:pos="720"/>
      </w:tabs>
      <w:spacing w:after="160"/>
    </w:p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paragraph" w:styleId="Listaconnmeros">
    <w:name w:val="List Number"/>
    <w:basedOn w:val="Lista"/>
    <w:pPr>
      <w:tabs>
        <w:tab w:val="clear" w:pos="720"/>
        <w:tab w:val="clear" w:pos="8640"/>
        <w:tab w:val="right" w:leader="dot" w:pos="7440"/>
      </w:tabs>
      <w:spacing w:after="0"/>
      <w:ind w:left="0" w:firstLine="0"/>
    </w:pPr>
  </w:style>
  <w:style w:type="paragraph" w:styleId="Listaconnmeros2">
    <w:name w:val="List Number 2"/>
    <w:basedOn w:val="Listaconnmeros"/>
    <w:pPr>
      <w:ind w:left="360"/>
    </w:pPr>
  </w:style>
  <w:style w:type="paragraph" w:styleId="Listaconnmeros3">
    <w:name w:val="List Number 3"/>
    <w:basedOn w:val="Listaconnmeros"/>
    <w:pPr>
      <w:ind w:left="720"/>
    </w:pPr>
  </w:style>
  <w:style w:type="paragraph" w:styleId="Listaconnmeros4">
    <w:name w:val="List Number 4"/>
    <w:basedOn w:val="Listaconnmeros"/>
    <w:pPr>
      <w:ind w:left="1080"/>
    </w:pPr>
  </w:style>
  <w:style w:type="paragraph" w:styleId="Listaconnmeros5">
    <w:name w:val="List Number 5"/>
    <w:basedOn w:val="Listaconnmeros"/>
    <w:pPr>
      <w:ind w:left="1440"/>
    </w:pPr>
  </w:style>
  <w:style w:type="paragraph" w:styleId="Textomacro">
    <w:name w:val="macro"/>
    <w:basedOn w:val="Textoindependiente"/>
    <w:semiHidden/>
    <w:pPr>
      <w:spacing w:after="120" w:line="240" w:lineRule="auto"/>
    </w:pPr>
    <w:rPr>
      <w:rFonts w:ascii="Courier New" w:hAnsi="Courier New"/>
    </w:rPr>
  </w:style>
  <w:style w:type="paragraph" w:customStyle="1" w:styleId="Nombre">
    <w:name w:val="Nombre"/>
    <w:basedOn w:val="Textoindependiente"/>
    <w:pPr>
      <w:jc w:val="center"/>
    </w:pPr>
  </w:style>
  <w:style w:type="character" w:styleId="Nmerodepgina">
    <w:name w:val="page number"/>
  </w:style>
  <w:style w:type="paragraph" w:customStyle="1" w:styleId="Imagen">
    <w:name w:val="Imagen"/>
    <w:basedOn w:val="Textoindependiente"/>
    <w:next w:val="Descripcin"/>
    <w:pPr>
      <w:keepNext/>
      <w:spacing w:line="240" w:lineRule="auto"/>
      <w:jc w:val="center"/>
    </w:pPr>
  </w:style>
  <w:style w:type="paragraph" w:customStyle="1" w:styleId="Etiquetadeseccin">
    <w:name w:val="Etiqueta de sección"/>
    <w:basedOn w:val="Ttulo-base"/>
    <w:next w:val="Textoindependiente"/>
    <w:pPr>
      <w:pageBreakBefore/>
      <w:spacing w:after="700"/>
      <w:jc w:val="center"/>
    </w:pPr>
    <w:rPr>
      <w:b w:val="0"/>
      <w:caps/>
      <w:spacing w:val="10"/>
    </w:rPr>
  </w:style>
  <w:style w:type="paragraph" w:styleId="Subttulo">
    <w:name w:val="Subtitle"/>
    <w:basedOn w:val="Ttulo"/>
    <w:next w:val="Textoindependiente"/>
    <w:qFormat/>
    <w:pPr>
      <w:spacing w:after="0" w:line="480" w:lineRule="auto"/>
    </w:pPr>
    <w:rPr>
      <w:caps w:val="0"/>
    </w:rPr>
  </w:style>
  <w:style w:type="paragraph" w:styleId="Ttulo">
    <w:name w:val="Title"/>
    <w:basedOn w:val="Ttulo-base"/>
    <w:next w:val="Subttulo"/>
    <w:qFormat/>
    <w:pPr>
      <w:spacing w:after="280" w:line="240" w:lineRule="auto"/>
      <w:ind w:left="1920" w:right="1920"/>
      <w:jc w:val="center"/>
    </w:pPr>
    <w:rPr>
      <w:b w:val="0"/>
      <w:caps/>
    </w:rPr>
  </w:style>
  <w:style w:type="paragraph" w:customStyle="1" w:styleId="Subttulodecubierta">
    <w:name w:val="Subtítulo de cubierta"/>
    <w:basedOn w:val="Normal"/>
    <w:next w:val="Textoindependiente"/>
    <w:pPr>
      <w:keepNext/>
      <w:spacing w:after="560"/>
      <w:ind w:left="1800" w:right="1800"/>
      <w:jc w:val="center"/>
    </w:pPr>
  </w:style>
  <w:style w:type="character" w:customStyle="1" w:styleId="Superndice">
    <w:name w:val="Superíndice"/>
    <w:rPr>
      <w:vertAlign w:val="superscript"/>
    </w:rPr>
  </w:style>
  <w:style w:type="paragraph" w:styleId="Textoconsangra">
    <w:name w:val="table of authorities"/>
    <w:basedOn w:val="Normal"/>
    <w:semiHidden/>
    <w:pPr>
      <w:tabs>
        <w:tab w:val="right" w:leader="dot" w:pos="8640"/>
      </w:tabs>
      <w:ind w:left="360" w:hanging="360"/>
    </w:pPr>
  </w:style>
  <w:style w:type="paragraph" w:styleId="Tabladeilustraciones">
    <w:name w:val="table of figures"/>
    <w:basedOn w:val="Normal"/>
    <w:semiHidden/>
    <w:pPr>
      <w:tabs>
        <w:tab w:val="right" w:leader="dot" w:pos="8640"/>
      </w:tabs>
      <w:ind w:left="720" w:hanging="720"/>
    </w:pPr>
  </w:style>
  <w:style w:type="paragraph" w:customStyle="1" w:styleId="Ttulodecubierta">
    <w:name w:val="Título de cubierta"/>
    <w:basedOn w:val="Ttulo-base"/>
    <w:next w:val="Subttulodecubierta"/>
    <w:pPr>
      <w:spacing w:before="780" w:after="420" w:line="240" w:lineRule="auto"/>
      <w:ind w:left="1920" w:right="1920"/>
      <w:jc w:val="center"/>
    </w:pPr>
    <w:rPr>
      <w:b w:val="0"/>
      <w:caps/>
      <w:spacing w:val="5"/>
    </w:rPr>
  </w:style>
  <w:style w:type="paragraph" w:styleId="Encabezadodelista">
    <w:name w:val="toa heading"/>
    <w:basedOn w:val="Normal"/>
    <w:next w:val="Textoconsangra"/>
    <w:semiHidden/>
    <w:pPr>
      <w:keepNext/>
      <w:keepLines/>
      <w:spacing w:before="280"/>
      <w:jc w:val="left"/>
    </w:pPr>
    <w:rPr>
      <w:b/>
      <w:kern w:val="28"/>
    </w:rPr>
  </w:style>
  <w:style w:type="paragraph" w:styleId="TDC1">
    <w:name w:val="toc 1"/>
    <w:basedOn w:val="Normal"/>
    <w:uiPriority w:val="39"/>
    <w:rsid w:val="00F446E3"/>
    <w:pPr>
      <w:tabs>
        <w:tab w:val="clear" w:pos="8640"/>
        <w:tab w:val="right" w:leader="dot" w:pos="7440"/>
      </w:tabs>
      <w:spacing w:line="480" w:lineRule="auto"/>
    </w:pPr>
  </w:style>
  <w:style w:type="paragraph" w:styleId="TDC2">
    <w:name w:val="toc 2"/>
    <w:basedOn w:val="Normal"/>
    <w:uiPriority w:val="39"/>
    <w:rsid w:val="00F446E3"/>
    <w:pPr>
      <w:tabs>
        <w:tab w:val="clear" w:pos="8640"/>
        <w:tab w:val="right" w:leader="dot" w:pos="7440"/>
      </w:tabs>
      <w:spacing w:line="480" w:lineRule="auto"/>
      <w:ind w:left="360"/>
    </w:pPr>
  </w:style>
  <w:style w:type="paragraph" w:styleId="TDC3">
    <w:name w:val="toc 3"/>
    <w:basedOn w:val="Normal"/>
    <w:uiPriority w:val="39"/>
    <w:rsid w:val="00F446E3"/>
    <w:pPr>
      <w:tabs>
        <w:tab w:val="clear" w:pos="8640"/>
        <w:tab w:val="left" w:leader="dot" w:pos="7371"/>
      </w:tabs>
      <w:spacing w:line="480" w:lineRule="auto"/>
      <w:ind w:left="720"/>
    </w:pPr>
  </w:style>
  <w:style w:type="paragraph" w:styleId="TDC4">
    <w:name w:val="toc 4"/>
    <w:basedOn w:val="Normal"/>
    <w:semiHidden/>
    <w:pPr>
      <w:tabs>
        <w:tab w:val="right" w:leader="dot" w:pos="8640"/>
      </w:tabs>
      <w:ind w:left="1080"/>
    </w:pPr>
  </w:style>
  <w:style w:type="paragraph" w:styleId="TDC5">
    <w:name w:val="toc 5"/>
    <w:basedOn w:val="Normal"/>
    <w:semiHidden/>
    <w:pPr>
      <w:tabs>
        <w:tab w:val="right" w:leader="dot" w:pos="8640"/>
      </w:tabs>
      <w:ind w:left="1440"/>
    </w:pPr>
  </w:style>
  <w:style w:type="paragraph" w:customStyle="1" w:styleId="TDC-base">
    <w:name w:val="TDC - base"/>
    <w:basedOn w:val="Normal"/>
    <w:pPr>
      <w:tabs>
        <w:tab w:val="right" w:leader="dot" w:pos="8640"/>
      </w:tabs>
    </w:pPr>
  </w:style>
  <w:style w:type="character" w:styleId="AcrnimoHTML">
    <w:name w:val="HTML Acronym"/>
    <w:basedOn w:val="Fuentedeprrafopredeter"/>
    <w:rPr>
      <w:lang w:val="es-ES"/>
    </w:rPr>
  </w:style>
  <w:style w:type="paragraph" w:styleId="Cierre">
    <w:name w:val="Closing"/>
    <w:basedOn w:val="Normal"/>
    <w:pPr>
      <w:ind w:left="4252"/>
    </w:pPr>
  </w:style>
  <w:style w:type="character" w:styleId="CitaHTML">
    <w:name w:val="HTML Cite"/>
    <w:rPr>
      <w:i/>
      <w:iCs/>
      <w:lang w:val="es-ES"/>
    </w:rPr>
  </w:style>
  <w:style w:type="character" w:styleId="CdigoHTML">
    <w:name w:val="HTML Code"/>
    <w:rPr>
      <w:rFonts w:ascii="Courier New" w:hAnsi="Courier New"/>
      <w:sz w:val="20"/>
      <w:szCs w:val="20"/>
      <w:lang w:val="es-ES"/>
    </w:rPr>
  </w:style>
  <w:style w:type="character" w:styleId="DefinicinHTML">
    <w:name w:val="HTML Definition"/>
    <w:rPr>
      <w:i/>
      <w:iCs/>
      <w:lang w:val="es-ES"/>
    </w:rPr>
  </w:style>
  <w:style w:type="paragraph" w:styleId="DireccinHTML">
    <w:name w:val="HTML Address"/>
    <w:basedOn w:val="Normal"/>
    <w:rPr>
      <w:i/>
      <w:iCs/>
    </w:rPr>
  </w:style>
  <w:style w:type="paragraph" w:styleId="Direccinsobre">
    <w:name w:val="envelope address"/>
    <w:basedOn w:val="Normal"/>
    <w:pPr>
      <w:framePr w:w="7920" w:h="1980" w:hRule="exact" w:hSpace="180" w:wrap="auto" w:hAnchor="page" w:xAlign="center" w:yAlign="bottom"/>
      <w:ind w:left="2880"/>
    </w:pPr>
  </w:style>
  <w:style w:type="character" w:styleId="EjemplodeHTML">
    <w:name w:val="HTML Sample"/>
    <w:rPr>
      <w:rFonts w:ascii="Courier New" w:hAnsi="Courier New"/>
      <w:lang w:val="es-E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Encabezadodenota">
    <w:name w:val="Note Heading"/>
    <w:basedOn w:val="Normal"/>
    <w:next w:val="Normal"/>
  </w:style>
  <w:style w:type="paragraph" w:styleId="Firma">
    <w:name w:val="Signature"/>
    <w:basedOn w:val="Normal"/>
    <w:pPr>
      <w:ind w:left="4252"/>
    </w:pPr>
  </w:style>
  <w:style w:type="paragraph" w:styleId="Firmadecorreoelectrnico">
    <w:name w:val="E-mail Signature"/>
    <w:basedOn w:val="Normal"/>
  </w:style>
  <w:style w:type="character" w:styleId="Hipervnculo">
    <w:name w:val="Hyperlink"/>
    <w:uiPriority w:val="99"/>
    <w:rPr>
      <w:color w:val="0000FF"/>
      <w:u w:val="single"/>
      <w:lang w:val="es-ES"/>
    </w:rPr>
  </w:style>
  <w:style w:type="character" w:styleId="Hipervnculovisitado">
    <w:name w:val="FollowedHyperlink"/>
    <w:rPr>
      <w:color w:val="800080"/>
      <w:u w:val="single"/>
      <w:lang w:val="es-ES"/>
    </w:rPr>
  </w:style>
  <w:style w:type="paragraph" w:styleId="HTMLconformatoprevio">
    <w:name w:val="HTML Preformatted"/>
    <w:basedOn w:val="Normal"/>
    <w:rPr>
      <w:rFonts w:ascii="Courier New" w:hAnsi="Courier New" w:cs="Courier New"/>
      <w:sz w:val="20"/>
    </w:rPr>
  </w:style>
  <w:style w:type="paragraph" w:styleId="ndice6">
    <w:name w:val="index 6"/>
    <w:basedOn w:val="Normal"/>
    <w:next w:val="Normal"/>
    <w:autoRedefine/>
    <w:semiHidden/>
    <w:pPr>
      <w:tabs>
        <w:tab w:val="clear" w:pos="8640"/>
      </w:tabs>
      <w:ind w:left="1440" w:hanging="240"/>
    </w:pPr>
  </w:style>
  <w:style w:type="paragraph" w:styleId="ndice7">
    <w:name w:val="index 7"/>
    <w:basedOn w:val="Normal"/>
    <w:next w:val="Normal"/>
    <w:autoRedefine/>
    <w:semiHidden/>
    <w:pPr>
      <w:tabs>
        <w:tab w:val="clear" w:pos="8640"/>
      </w:tabs>
      <w:ind w:left="1680" w:hanging="240"/>
    </w:pPr>
  </w:style>
  <w:style w:type="paragraph" w:styleId="ndice8">
    <w:name w:val="index 8"/>
    <w:basedOn w:val="Normal"/>
    <w:next w:val="Normal"/>
    <w:autoRedefine/>
    <w:semiHidden/>
    <w:pPr>
      <w:tabs>
        <w:tab w:val="clear" w:pos="8640"/>
      </w:tabs>
      <w:ind w:left="1920" w:hanging="240"/>
    </w:pPr>
  </w:style>
  <w:style w:type="paragraph" w:styleId="ndice9">
    <w:name w:val="index 9"/>
    <w:basedOn w:val="Normal"/>
    <w:next w:val="Normal"/>
    <w:autoRedefine/>
    <w:semiHidden/>
    <w:pPr>
      <w:tabs>
        <w:tab w:val="clear" w:pos="8640"/>
      </w:tabs>
      <w:ind w:left="2160" w:hanging="240"/>
    </w:pPr>
  </w:style>
  <w:style w:type="paragraph" w:styleId="Listaconvietas">
    <w:name w:val="List Bullet"/>
    <w:basedOn w:val="Normal"/>
    <w:autoRedefine/>
    <w:pPr>
      <w:numPr>
        <w:numId w:val="21"/>
      </w:numPr>
    </w:pPr>
  </w:style>
  <w:style w:type="paragraph" w:styleId="Listaconvietas2">
    <w:name w:val="List Bullet 2"/>
    <w:basedOn w:val="Normal"/>
    <w:autoRedefine/>
    <w:pPr>
      <w:numPr>
        <w:numId w:val="22"/>
      </w:numPr>
    </w:pPr>
  </w:style>
  <w:style w:type="paragraph" w:styleId="Listaconvietas3">
    <w:name w:val="List Bullet 3"/>
    <w:basedOn w:val="Normal"/>
    <w:autoRedefine/>
    <w:pPr>
      <w:numPr>
        <w:numId w:val="23"/>
      </w:numPr>
    </w:pPr>
  </w:style>
  <w:style w:type="paragraph" w:styleId="Listaconvietas4">
    <w:name w:val="List Bullet 4"/>
    <w:basedOn w:val="Normal"/>
    <w:autoRedefine/>
    <w:pPr>
      <w:numPr>
        <w:numId w:val="24"/>
      </w:numPr>
    </w:pPr>
  </w:style>
  <w:style w:type="paragraph" w:styleId="Listaconvietas5">
    <w:name w:val="List Bullet 5"/>
    <w:basedOn w:val="Normal"/>
    <w:autoRedefine/>
    <w:pPr>
      <w:numPr>
        <w:numId w:val="25"/>
      </w:numPr>
    </w:pPr>
  </w:style>
  <w:style w:type="paragraph" w:styleId="Mapadeldocumento">
    <w:name w:val="Document Map"/>
    <w:basedOn w:val="Normal"/>
    <w:semiHidden/>
    <w:pPr>
      <w:shd w:val="clear" w:color="auto" w:fill="000080"/>
    </w:pPr>
    <w:rPr>
      <w:rFonts w:ascii="Tahoma" w:hAnsi="Tahoma" w:cs="Tahoma"/>
    </w:rPr>
  </w:style>
  <w:style w:type="character" w:styleId="MquinadeescribirHTML">
    <w:name w:val="HTML Typewriter"/>
    <w:rPr>
      <w:rFonts w:ascii="Courier New" w:hAnsi="Courier New"/>
      <w:sz w:val="20"/>
      <w:szCs w:val="20"/>
      <w:lang w:val="es-ES"/>
    </w:rPr>
  </w:style>
  <w:style w:type="paragraph" w:styleId="NormalWeb">
    <w:name w:val="Normal (Web)"/>
    <w:aliases w:val="Car,Car Car Car,Car Car Car Car Car"/>
    <w:basedOn w:val="Normal"/>
    <w:link w:val="NormalWebCar"/>
    <w:uiPriority w:val="99"/>
    <w:rPr>
      <w:rFonts w:ascii="Times New Roman" w:hAnsi="Times New Roman"/>
    </w:rPr>
  </w:style>
  <w:style w:type="paragraph" w:styleId="Remitedesobre">
    <w:name w:val="envelope return"/>
    <w:basedOn w:val="Normal"/>
    <w:rPr>
      <w:sz w:val="20"/>
    </w:rPr>
  </w:style>
  <w:style w:type="paragraph" w:styleId="Saludo">
    <w:name w:val="Salutation"/>
    <w:basedOn w:val="Normal"/>
    <w:next w:val="Normal"/>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styleId="Sangranormal">
    <w:name w:val="Normal Indent"/>
    <w:basedOn w:val="Normal"/>
    <w:pPr>
      <w:ind w:left="720"/>
    </w:pPr>
  </w:style>
  <w:style w:type="paragraph" w:styleId="TDC6">
    <w:name w:val="toc 6"/>
    <w:basedOn w:val="Normal"/>
    <w:next w:val="Normal"/>
    <w:autoRedefine/>
    <w:semiHidden/>
    <w:pPr>
      <w:tabs>
        <w:tab w:val="clear" w:pos="8640"/>
      </w:tabs>
      <w:ind w:left="1200"/>
    </w:pPr>
  </w:style>
  <w:style w:type="paragraph" w:styleId="TDC7">
    <w:name w:val="toc 7"/>
    <w:basedOn w:val="Normal"/>
    <w:next w:val="Normal"/>
    <w:autoRedefine/>
    <w:semiHidden/>
    <w:pPr>
      <w:tabs>
        <w:tab w:val="clear" w:pos="8640"/>
      </w:tabs>
      <w:ind w:left="1440"/>
    </w:pPr>
  </w:style>
  <w:style w:type="paragraph" w:styleId="TDC8">
    <w:name w:val="toc 8"/>
    <w:basedOn w:val="Normal"/>
    <w:next w:val="Normal"/>
    <w:autoRedefine/>
    <w:semiHidden/>
    <w:pPr>
      <w:tabs>
        <w:tab w:val="clear" w:pos="8640"/>
      </w:tabs>
      <w:ind w:left="1680"/>
    </w:pPr>
  </w:style>
  <w:style w:type="paragraph" w:styleId="TDC9">
    <w:name w:val="toc 9"/>
    <w:basedOn w:val="Normal"/>
    <w:next w:val="Normal"/>
    <w:autoRedefine/>
    <w:semiHidden/>
    <w:pPr>
      <w:tabs>
        <w:tab w:val="clear" w:pos="8640"/>
      </w:tabs>
      <w:ind w:left="1920"/>
    </w:pPr>
  </w:style>
  <w:style w:type="character" w:styleId="TecladoHTML">
    <w:name w:val="HTML Keyboard"/>
    <w:rPr>
      <w:rFonts w:ascii="Courier New" w:hAnsi="Courier New"/>
      <w:sz w:val="20"/>
      <w:szCs w:val="20"/>
      <w:lang w:val="es-ES"/>
    </w:rPr>
  </w:style>
  <w:style w:type="paragraph" w:styleId="Textodebloque">
    <w:name w:val="Block Text"/>
    <w:basedOn w:val="Normal"/>
    <w:pPr>
      <w:spacing w:after="120"/>
      <w:ind w:left="1440" w:right="1440"/>
    </w:pPr>
  </w:style>
  <w:style w:type="character" w:styleId="Textoennegrita">
    <w:name w:val="Strong"/>
    <w:qFormat/>
    <w:rPr>
      <w:b/>
      <w:bCs/>
      <w:lang w:val="es-ES"/>
    </w:r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line="240" w:lineRule="auto"/>
      <w:ind w:firstLine="210"/>
    </w:pPr>
  </w:style>
  <w:style w:type="paragraph" w:styleId="Textoindependienteprimerasangra2">
    <w:name w:val="Body Text First Indent 2"/>
    <w:basedOn w:val="Sangradetextonormal"/>
    <w:pPr>
      <w:spacing w:after="120"/>
      <w:ind w:left="283" w:firstLine="210"/>
      <w:jc w:val="both"/>
    </w:pPr>
  </w:style>
  <w:style w:type="paragraph" w:styleId="Textosinformato">
    <w:name w:val="Plain Text"/>
    <w:basedOn w:val="Normal"/>
    <w:rPr>
      <w:rFonts w:ascii="Courier New" w:hAnsi="Courier New" w:cs="Courier New"/>
      <w:sz w:val="20"/>
    </w:rPr>
  </w:style>
  <w:style w:type="character" w:styleId="VariableHTML">
    <w:name w:val="HTML Variable"/>
    <w:rPr>
      <w:i/>
      <w:iCs/>
      <w:lang w:val="es-ES"/>
    </w:rPr>
  </w:style>
  <w:style w:type="paragraph" w:styleId="Textodeglobo">
    <w:name w:val="Balloon Text"/>
    <w:basedOn w:val="Normal"/>
    <w:semiHidden/>
    <w:rPr>
      <w:rFonts w:ascii="Tahoma" w:hAnsi="Tahoma" w:cs="Tahoma"/>
      <w:sz w:val="16"/>
      <w:szCs w:val="16"/>
    </w:rPr>
  </w:style>
  <w:style w:type="character" w:customStyle="1" w:styleId="Ttulo2Car">
    <w:name w:val="Título 2 Car"/>
    <w:link w:val="Ttulo2"/>
    <w:rsid w:val="008A67C8"/>
    <w:rPr>
      <w:rFonts w:ascii="Arial" w:eastAsia="MS Mincho" w:hAnsi="Arial"/>
      <w:b/>
      <w:spacing w:val="-2"/>
      <w:kern w:val="28"/>
      <w:sz w:val="24"/>
      <w:lang w:val="es-ES" w:eastAsia="en-US" w:bidi="ar-SA"/>
    </w:rPr>
  </w:style>
  <w:style w:type="character" w:customStyle="1" w:styleId="Ttulo3Car">
    <w:name w:val="Título 3 Car"/>
    <w:link w:val="Ttulo3"/>
    <w:rsid w:val="00475659"/>
    <w:rPr>
      <w:rFonts w:ascii="Arial" w:eastAsia="MS Mincho" w:hAnsi="Arial"/>
      <w:b/>
      <w:kern w:val="28"/>
      <w:sz w:val="24"/>
      <w:lang w:val="es-ES" w:eastAsia="en-US" w:bidi="ar-SA"/>
    </w:rPr>
  </w:style>
  <w:style w:type="paragraph" w:styleId="Prrafodelista">
    <w:name w:val="List Paragraph"/>
    <w:basedOn w:val="Normal"/>
    <w:uiPriority w:val="34"/>
    <w:qFormat/>
    <w:rsid w:val="00832731"/>
    <w:pPr>
      <w:ind w:left="720"/>
      <w:contextualSpacing/>
    </w:pPr>
  </w:style>
  <w:style w:type="table" w:customStyle="1" w:styleId="Tablanormal21">
    <w:name w:val="Tabla normal 21"/>
    <w:basedOn w:val="Tablanormal"/>
    <w:uiPriority w:val="42"/>
    <w:rsid w:val="000773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0773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uiPriority w:val="46"/>
    <w:rsid w:val="00D347D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rsid w:val="00D347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ar">
    <w:name w:val="Normal (Web) Car"/>
    <w:aliases w:val="Car Car,Car Car Car Car,Car Car Car Car Car Car"/>
    <w:link w:val="NormalWeb"/>
    <w:uiPriority w:val="99"/>
    <w:locked/>
    <w:rsid w:val="00D347DD"/>
    <w:rPr>
      <w:rFonts w:cs="Arial"/>
      <w:spacing w:val="-2"/>
      <w:sz w:val="24"/>
      <w:szCs w:val="24"/>
      <w:lang w:eastAsia="en-US"/>
    </w:rPr>
  </w:style>
  <w:style w:type="character" w:customStyle="1" w:styleId="journaltitle">
    <w:name w:val="journaltitle"/>
    <w:basedOn w:val="Fuentedeprrafopredeter"/>
    <w:rsid w:val="008E3FBC"/>
  </w:style>
  <w:style w:type="character" w:customStyle="1" w:styleId="articlecitationyear">
    <w:name w:val="articlecitation_year"/>
    <w:basedOn w:val="Fuentedeprrafopredeter"/>
    <w:rsid w:val="008E3FBC"/>
  </w:style>
  <w:style w:type="character" w:customStyle="1" w:styleId="authorsname">
    <w:name w:val="authors__name"/>
    <w:basedOn w:val="Fuentedeprrafopredeter"/>
    <w:rsid w:val="008E3FBC"/>
  </w:style>
  <w:style w:type="table" w:styleId="Tablanormal2">
    <w:name w:val="Plain Table 2"/>
    <w:basedOn w:val="Tablanormal"/>
    <w:uiPriority w:val="42"/>
    <w:rsid w:val="007B27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5oscura-nfasis2">
    <w:name w:val="Grid Table 5 Dark Accent 2"/>
    <w:basedOn w:val="Tablanormal"/>
    <w:uiPriority w:val="50"/>
    <w:rsid w:val="007B27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4-nfasis2">
    <w:name w:val="Grid Table 4 Accent 2"/>
    <w:basedOn w:val="Tablanormal"/>
    <w:uiPriority w:val="49"/>
    <w:rsid w:val="004978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3">
    <w:name w:val="Plain Table 3"/>
    <w:basedOn w:val="Tablanormal"/>
    <w:uiPriority w:val="43"/>
    <w:rsid w:val="002432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5D67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ld.cu/bmn/files/2019/02/factografico-de-salud-febrero-2019" TargetMode="External"/><Relationship Id="rId18" Type="http://schemas.openxmlformats.org/officeDocument/2006/relationships/hyperlink" Target="https://www.fac.org.ar" TargetMode="External"/><Relationship Id="rId26" Type="http://schemas.openxmlformats.org/officeDocument/2006/relationships/hyperlink" Target="https://www.revespcardiol.org/es-guia-practica-clinica-esc-2013-articulo-S030089321400030X?referer=guias" TargetMode="External"/><Relationship Id="rId39" Type="http://schemas.openxmlformats.org/officeDocument/2006/relationships/hyperlink" Target="http://doi.org/10.1016/j.rmclc.2017.12.004" TargetMode="External"/><Relationship Id="rId21" Type="http://schemas.openxmlformats.org/officeDocument/2006/relationships/hyperlink" Target="https://www.sciencedirect.com/science/article/abs/pii/S1131358708735428" TargetMode="External"/><Relationship Id="rId34" Type="http://schemas.openxmlformats.org/officeDocument/2006/relationships/hyperlink" Target="https://link.springer.com/article/10.1007/s12350-015-0387-x" TargetMode="External"/><Relationship Id="rId42" Type="http://schemas.openxmlformats.org/officeDocument/2006/relationships/hyperlink" Target="http://www.scielo.edu.uy" TargetMode="External"/><Relationship Id="rId47" Type="http://schemas.openxmlformats.org/officeDocument/2006/relationships/hyperlink" Target="https://link.springer.com/article/10.1007/s12350-017-1045-2" TargetMode="External"/><Relationship Id="rId50" Type="http://schemas.openxmlformats.org/officeDocument/2006/relationships/hyperlink" Target="https://dialnet.unirioja.es/servlet/articulo?codigo=5329672"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vespcardiol.org" TargetMode="External"/><Relationship Id="rId29" Type="http://schemas.openxmlformats.org/officeDocument/2006/relationships/hyperlink" Target="http://www.revista-portalesmedicos.com" TargetMode="External"/><Relationship Id="rId11" Type="http://schemas.openxmlformats.org/officeDocument/2006/relationships/chart" Target="charts/chart1.xml"/><Relationship Id="rId24" Type="http://schemas.openxmlformats.org/officeDocument/2006/relationships/hyperlink" Target="https://www.sciencedirect.com" TargetMode="External"/><Relationship Id="rId32" Type="http://schemas.openxmlformats.org/officeDocument/2006/relationships/hyperlink" Target="http://www.medigrafic.com" TargetMode="External"/><Relationship Id="rId37" Type="http://schemas.openxmlformats.org/officeDocument/2006/relationships/hyperlink" Target="http://www.scielo.org.mx/scielo.php?pid=S140599402017000400292&amp;script=sci_arttext&amp;tlng=en" TargetMode="External"/><Relationship Id="rId40" Type="http://schemas.openxmlformats.org/officeDocument/2006/relationships/hyperlink" Target="http://www.revespcardiol.org" TargetMode="External"/><Relationship Id="rId45" Type="http://schemas.openxmlformats.org/officeDocument/2006/relationships/hyperlink" Target="http://www.revespcardiol.org" TargetMode="External"/><Relationship Id="rId53" Type="http://schemas.openxmlformats.org/officeDocument/2006/relationships/hyperlink" Target="http://www.redalyc.org/articulo.oa?id=426041256005"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alasbimnjournal.net/a/24.ISSN:0717-4055" TargetMode="External"/><Relationship Id="rId14" Type="http://schemas.openxmlformats.org/officeDocument/2006/relationships/hyperlink" Target="http://www.sciencedirect.com" TargetMode="External"/><Relationship Id="rId22" Type="http://schemas.openxmlformats.org/officeDocument/2006/relationships/hyperlink" Target="https://www.samn.es" TargetMode="External"/><Relationship Id="rId27" Type="http://schemas.openxmlformats.org/officeDocument/2006/relationships/hyperlink" Target="https://www.revespcardiol.org/es-pdf-S0300893218306377" TargetMode="External"/><Relationship Id="rId30" Type="http://schemas.openxmlformats.org/officeDocument/2006/relationships/hyperlink" Target="http://www.americanheart.org" TargetMode="External"/><Relationship Id="rId35" Type="http://schemas.openxmlformats.org/officeDocument/2006/relationships/hyperlink" Target="https://www.sciencedirect.com/science/article/pii/S0300893299750256" TargetMode="External"/><Relationship Id="rId43" Type="http://schemas.openxmlformats.org/officeDocument/2006/relationships/hyperlink" Target="https://www.redalyc.org/pdf/3053/305326928007.pdf" TargetMode="External"/><Relationship Id="rId48" Type="http://schemas.openxmlformats.org/officeDocument/2006/relationships/hyperlink" Target="https://link.springer.com/journal/12350" TargetMode="External"/><Relationship Id="rId56" Type="http://schemas.openxmlformats.org/officeDocument/2006/relationships/image" Target="media/image1.png"/><Relationship Id="rId8" Type="http://schemas.openxmlformats.org/officeDocument/2006/relationships/header" Target="header1.xml"/><Relationship Id="rId51" Type="http://schemas.openxmlformats.org/officeDocument/2006/relationships/hyperlink" Target="https://link.springer.com/article/10.1007/s10741-010-9201-7" TargetMode="External"/><Relationship Id="rId3" Type="http://schemas.openxmlformats.org/officeDocument/2006/relationships/styles" Target="styles.xml"/><Relationship Id="rId12" Type="http://schemas.openxmlformats.org/officeDocument/2006/relationships/hyperlink" Target="https://www.sciencedirect.com/science/article/pii/S0300893213004855" TargetMode="External"/><Relationship Id="rId17" Type="http://schemas.openxmlformats.org/officeDocument/2006/relationships/hyperlink" Target="http://www.scielo.conicyt.cl" TargetMode="External"/><Relationship Id="rId25" Type="http://schemas.openxmlformats.org/officeDocument/2006/relationships/hyperlink" Target="https://instituciones.sld.cu" TargetMode="External"/><Relationship Id="rId33" Type="http://schemas.openxmlformats.org/officeDocument/2006/relationships/hyperlink" Target="http://www.revespcardiol.org" TargetMode="External"/><Relationship Id="rId38" Type="http://schemas.openxmlformats.org/officeDocument/2006/relationships/hyperlink" Target="http://www.semanticscholar.org" TargetMode="External"/><Relationship Id="rId46" Type="http://schemas.openxmlformats.org/officeDocument/2006/relationships/hyperlink" Target="https://www.researchgate.net/publication/237705688" TargetMode="External"/><Relationship Id="rId59" Type="http://schemas.openxmlformats.org/officeDocument/2006/relationships/footer" Target="footer4.xml"/><Relationship Id="rId20" Type="http://schemas.openxmlformats.org/officeDocument/2006/relationships/hyperlink" Target="https://www.ncbi.nih.gou" TargetMode="External"/><Relationship Id="rId41" Type="http://schemas.openxmlformats.org/officeDocument/2006/relationships/hyperlink" Target="http://dx.doi.org/10.1016/j.recesp.2013.05.026" TargetMode="External"/><Relationship Id="rId54" Type="http://schemas.openxmlformats.org/officeDocument/2006/relationships/hyperlink" Target="https://scielo.conicyt.cl/scielo.php?script=sci_arttext&amp;pid=S0034-9887201800080083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les.sld.cu/bvscuba/files/2020/05/Anuario-Electr&#243;nico-Espa&#241;ol-2019-ed-2020.pdf" TargetMode="External"/><Relationship Id="rId23" Type="http://schemas.openxmlformats.org/officeDocument/2006/relationships/hyperlink" Target="https://www.semnim.es" TargetMode="External"/><Relationship Id="rId28" Type="http://schemas.openxmlformats.org/officeDocument/2006/relationships/hyperlink" Target="http://www.onlinejacc.org/content/69/5/570.abstract" TargetMode="External"/><Relationship Id="rId36" Type="http://schemas.openxmlformats.org/officeDocument/2006/relationships/hyperlink" Target="http://ppct.caicyt.gov.ar/index.php/rac/article/view/10252" TargetMode="External"/><Relationship Id="rId49" Type="http://schemas.openxmlformats.org/officeDocument/2006/relationships/hyperlink" Target="https://link.springer.com/article/10.1007/s12350-014-9957-6" TargetMode="External"/><Relationship Id="rId57" Type="http://schemas.openxmlformats.org/officeDocument/2006/relationships/image" Target="media/image2.png"/><Relationship Id="rId10" Type="http://schemas.openxmlformats.org/officeDocument/2006/relationships/footer" Target="footer2.xml"/><Relationship Id="rId31" Type="http://schemas.openxmlformats.org/officeDocument/2006/relationships/hyperlink" Target="http://www.revespcardiol.org/es-guias-practica-clinica-sociedad-articulo-x03000893200108041" TargetMode="External"/><Relationship Id="rId44" Type="http://schemas.openxmlformats.org/officeDocument/2006/relationships/hyperlink" Target="http://scielo.sld.cu/scielo.Php?Script=sci_arttext&amp;pid=S003475232006000200004&amp;lng=es&amp;nrm=iso" TargetMode="External"/><Relationship Id="rId52" Type="http://schemas.openxmlformats.org/officeDocument/2006/relationships/hyperlink" Target="https://www.sciencedirect.com/science/article/pii/S0212698211000036"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maestria\TESIS%20MAESTRIA\Gammagraf&#237;a.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maestria\TESIS%20MAESTRIA\BASE%20DATOS\resultados%20corr.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Figura 1.Resultados de la Perfusión miocárdica.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Hoja1!$B$57</c:f>
              <c:strCache>
                <c:ptCount val="1"/>
                <c:pt idx="0">
                  <c:v>n</c:v>
                </c:pt>
              </c:strCache>
            </c:strRef>
          </c:tx>
          <c:spPr>
            <a:solidFill>
              <a:srgbClr val="002060"/>
            </a:solidFill>
          </c:spPr>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6E-47FB-8ADE-6DF90D649C79}"/>
              </c:ext>
            </c:extLst>
          </c:dPt>
          <c:dPt>
            <c:idx val="1"/>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6E-47FB-8ADE-6DF90D649C79}"/>
              </c:ext>
            </c:extLst>
          </c:dPt>
          <c:dLbls>
            <c:dLbl>
              <c:idx val="0"/>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B7A77AD7-C592-41BD-A0EB-454CB2EB2010}" type="CATEGORYNAME">
                      <a:rPr lang="en-US" sz="1200" b="1">
                        <a:solidFill>
                          <a:schemeClr val="bg1"/>
                        </a:solidFill>
                      </a:rPr>
                      <a:pPr>
                        <a:defRPr b="1"/>
                      </a:pPr>
                      <a:t>[NOMBRE DE CATEGORÍA]</a:t>
                    </a:fld>
                    <a:r>
                      <a:rPr lang="en-US" sz="1200" b="1" baseline="0">
                        <a:solidFill>
                          <a:schemeClr val="bg1"/>
                        </a:solidFill>
                      </a:rPr>
                      <a:t>
74(41,1%)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966E-47FB-8ADE-6DF90D649C79}"/>
                </c:ext>
              </c:extLst>
            </c:dLbl>
            <c:dLbl>
              <c:idx val="1"/>
              <c:layout>
                <c:manualLayout>
                  <c:x val="0.2362580927384077"/>
                  <c:y val="-0.1937828083989501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9240DDE0-D219-4C26-8AE4-F6E4E1B6AC6A}" type="CATEGORYNAME">
                      <a:rPr lang="en-US" sz="1200" b="1">
                        <a:solidFill>
                          <a:schemeClr val="bg1"/>
                        </a:solidFill>
                      </a:rPr>
                      <a:pPr>
                        <a:defRPr b="1"/>
                      </a:pPr>
                      <a:t>[NOMBRE DE CATEGORÍA]</a:t>
                    </a:fld>
                    <a:r>
                      <a:rPr lang="en-US" sz="1200" b="1" baseline="0">
                        <a:solidFill>
                          <a:schemeClr val="bg1"/>
                        </a:solidFill>
                      </a:rPr>
                      <a:t>
106(58,9%)</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layout>
                    <c:manualLayout>
                      <c:w val="0.1875"/>
                      <c:h val="0.15726851851851853"/>
                    </c:manualLayout>
                  </c15:layout>
                  <c15:dlblFieldTable/>
                  <c15:showDataLabelsRange val="0"/>
                </c:ext>
                <c:ext xmlns:c16="http://schemas.microsoft.com/office/drawing/2014/chart" uri="{C3380CC4-5D6E-409C-BE32-E72D297353CC}">
                  <c16:uniqueId val="{00000003-966E-47FB-8ADE-6DF90D649C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Hoja1!$A$58:$A$59</c:f>
              <c:strCache>
                <c:ptCount val="2"/>
                <c:pt idx="0">
                  <c:v>Positiva</c:v>
                </c:pt>
                <c:pt idx="1">
                  <c:v>Negativa</c:v>
                </c:pt>
              </c:strCache>
            </c:strRef>
          </c:cat>
          <c:val>
            <c:numRef>
              <c:f>Hoja1!$B$58:$B$59</c:f>
              <c:numCache>
                <c:formatCode>General</c:formatCode>
                <c:ptCount val="2"/>
                <c:pt idx="0">
                  <c:v>74</c:v>
                </c:pt>
                <c:pt idx="1">
                  <c:v>106</c:v>
                </c:pt>
              </c:numCache>
            </c:numRef>
          </c:val>
          <c:extLst>
            <c:ext xmlns:c16="http://schemas.microsoft.com/office/drawing/2014/chart" uri="{C3380CC4-5D6E-409C-BE32-E72D297353CC}">
              <c16:uniqueId val="{00000004-966E-47FB-8ADE-6DF90D649C79}"/>
            </c:ext>
          </c:extLst>
        </c:ser>
        <c:ser>
          <c:idx val="1"/>
          <c:order val="1"/>
          <c:tx>
            <c:strRef>
              <c:f>Hoja1!$C$57</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966E-47FB-8ADE-6DF90D649C7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966E-47FB-8ADE-6DF90D649C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Hoja1!$A$58:$A$59</c:f>
              <c:strCache>
                <c:ptCount val="2"/>
                <c:pt idx="0">
                  <c:v>Positiva</c:v>
                </c:pt>
                <c:pt idx="1">
                  <c:v>Negativa</c:v>
                </c:pt>
              </c:strCache>
            </c:strRef>
          </c:cat>
          <c:val>
            <c:numRef>
              <c:f>Hoja1!$C$58:$C$59</c:f>
              <c:numCache>
                <c:formatCode>General</c:formatCode>
                <c:ptCount val="2"/>
                <c:pt idx="0">
                  <c:v>41.1</c:v>
                </c:pt>
                <c:pt idx="1">
                  <c:v>58.9</c:v>
                </c:pt>
              </c:numCache>
            </c:numRef>
          </c:val>
          <c:extLst>
            <c:ext xmlns:c16="http://schemas.microsoft.com/office/drawing/2014/chart" uri="{C3380CC4-5D6E-409C-BE32-E72D297353CC}">
              <c16:uniqueId val="{00000009-966E-47FB-8ADE-6DF90D649C79}"/>
            </c:ext>
          </c:extLst>
        </c:ser>
        <c:dLbls>
          <c:dLblPos val="ctr"/>
          <c:showLegendKey val="0"/>
          <c:showVal val="1"/>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EB9E-A913-4DDF-9262-C826A04F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Gammagrafía</Template>
  <TotalTime>0</TotalTime>
  <Pages>91</Pages>
  <Words>16766</Words>
  <Characters>101631</Characters>
  <Application>Microsoft Office Word</Application>
  <DocSecurity>0</DocSecurity>
  <Lines>846</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Tesis</vt:lpstr>
      <vt:lpstr>Tesis</vt:lpstr>
    </vt:vector>
  </TitlesOfParts>
  <LinksUpToDate>false</LinksUpToDate>
  <CharactersWithSpaces>118161</CharactersWithSpaces>
  <SharedDoc>false</SharedDoc>
  <HLinks>
    <vt:vector size="150" baseType="variant">
      <vt:variant>
        <vt:i4>1179696</vt:i4>
      </vt:variant>
      <vt:variant>
        <vt:i4>206</vt:i4>
      </vt:variant>
      <vt:variant>
        <vt:i4>0</vt:i4>
      </vt:variant>
      <vt:variant>
        <vt:i4>5</vt:i4>
      </vt:variant>
      <vt:variant>
        <vt:lpwstr/>
      </vt:variant>
      <vt:variant>
        <vt:lpwstr>_Toc518382557</vt:lpwstr>
      </vt:variant>
      <vt:variant>
        <vt:i4>1179696</vt:i4>
      </vt:variant>
      <vt:variant>
        <vt:i4>200</vt:i4>
      </vt:variant>
      <vt:variant>
        <vt:i4>0</vt:i4>
      </vt:variant>
      <vt:variant>
        <vt:i4>5</vt:i4>
      </vt:variant>
      <vt:variant>
        <vt:lpwstr/>
      </vt:variant>
      <vt:variant>
        <vt:lpwstr>_Toc518382556</vt:lpwstr>
      </vt:variant>
      <vt:variant>
        <vt:i4>1179696</vt:i4>
      </vt:variant>
      <vt:variant>
        <vt:i4>194</vt:i4>
      </vt:variant>
      <vt:variant>
        <vt:i4>0</vt:i4>
      </vt:variant>
      <vt:variant>
        <vt:i4>5</vt:i4>
      </vt:variant>
      <vt:variant>
        <vt:lpwstr/>
      </vt:variant>
      <vt:variant>
        <vt:lpwstr>_Toc518382555</vt:lpwstr>
      </vt:variant>
      <vt:variant>
        <vt:i4>1179696</vt:i4>
      </vt:variant>
      <vt:variant>
        <vt:i4>188</vt:i4>
      </vt:variant>
      <vt:variant>
        <vt:i4>0</vt:i4>
      </vt:variant>
      <vt:variant>
        <vt:i4>5</vt:i4>
      </vt:variant>
      <vt:variant>
        <vt:lpwstr/>
      </vt:variant>
      <vt:variant>
        <vt:lpwstr>_Toc518382554</vt:lpwstr>
      </vt:variant>
      <vt:variant>
        <vt:i4>1179696</vt:i4>
      </vt:variant>
      <vt:variant>
        <vt:i4>182</vt:i4>
      </vt:variant>
      <vt:variant>
        <vt:i4>0</vt:i4>
      </vt:variant>
      <vt:variant>
        <vt:i4>5</vt:i4>
      </vt:variant>
      <vt:variant>
        <vt:lpwstr/>
      </vt:variant>
      <vt:variant>
        <vt:lpwstr>_Toc518382553</vt:lpwstr>
      </vt:variant>
      <vt:variant>
        <vt:i4>1179696</vt:i4>
      </vt:variant>
      <vt:variant>
        <vt:i4>176</vt:i4>
      </vt:variant>
      <vt:variant>
        <vt:i4>0</vt:i4>
      </vt:variant>
      <vt:variant>
        <vt:i4>5</vt:i4>
      </vt:variant>
      <vt:variant>
        <vt:lpwstr/>
      </vt:variant>
      <vt:variant>
        <vt:lpwstr>_Toc518382552</vt:lpwstr>
      </vt:variant>
      <vt:variant>
        <vt:i4>1179696</vt:i4>
      </vt:variant>
      <vt:variant>
        <vt:i4>170</vt:i4>
      </vt:variant>
      <vt:variant>
        <vt:i4>0</vt:i4>
      </vt:variant>
      <vt:variant>
        <vt:i4>5</vt:i4>
      </vt:variant>
      <vt:variant>
        <vt:lpwstr/>
      </vt:variant>
      <vt:variant>
        <vt:lpwstr>_Toc518382551</vt:lpwstr>
      </vt:variant>
      <vt:variant>
        <vt:i4>1179696</vt:i4>
      </vt:variant>
      <vt:variant>
        <vt:i4>164</vt:i4>
      </vt:variant>
      <vt:variant>
        <vt:i4>0</vt:i4>
      </vt:variant>
      <vt:variant>
        <vt:i4>5</vt:i4>
      </vt:variant>
      <vt:variant>
        <vt:lpwstr/>
      </vt:variant>
      <vt:variant>
        <vt:lpwstr>_Toc518382550</vt:lpwstr>
      </vt:variant>
      <vt:variant>
        <vt:i4>1245232</vt:i4>
      </vt:variant>
      <vt:variant>
        <vt:i4>158</vt:i4>
      </vt:variant>
      <vt:variant>
        <vt:i4>0</vt:i4>
      </vt:variant>
      <vt:variant>
        <vt:i4>5</vt:i4>
      </vt:variant>
      <vt:variant>
        <vt:lpwstr/>
      </vt:variant>
      <vt:variant>
        <vt:lpwstr>_Toc518382549</vt:lpwstr>
      </vt:variant>
      <vt:variant>
        <vt:i4>1245232</vt:i4>
      </vt:variant>
      <vt:variant>
        <vt:i4>152</vt:i4>
      </vt:variant>
      <vt:variant>
        <vt:i4>0</vt:i4>
      </vt:variant>
      <vt:variant>
        <vt:i4>5</vt:i4>
      </vt:variant>
      <vt:variant>
        <vt:lpwstr/>
      </vt:variant>
      <vt:variant>
        <vt:lpwstr>_Toc518382548</vt:lpwstr>
      </vt:variant>
      <vt:variant>
        <vt:i4>1245232</vt:i4>
      </vt:variant>
      <vt:variant>
        <vt:i4>146</vt:i4>
      </vt:variant>
      <vt:variant>
        <vt:i4>0</vt:i4>
      </vt:variant>
      <vt:variant>
        <vt:i4>5</vt:i4>
      </vt:variant>
      <vt:variant>
        <vt:lpwstr/>
      </vt:variant>
      <vt:variant>
        <vt:lpwstr>_Toc518382547</vt:lpwstr>
      </vt:variant>
      <vt:variant>
        <vt:i4>1245232</vt:i4>
      </vt:variant>
      <vt:variant>
        <vt:i4>140</vt:i4>
      </vt:variant>
      <vt:variant>
        <vt:i4>0</vt:i4>
      </vt:variant>
      <vt:variant>
        <vt:i4>5</vt:i4>
      </vt:variant>
      <vt:variant>
        <vt:lpwstr/>
      </vt:variant>
      <vt:variant>
        <vt:lpwstr>_Toc518382546</vt:lpwstr>
      </vt:variant>
      <vt:variant>
        <vt:i4>1245232</vt:i4>
      </vt:variant>
      <vt:variant>
        <vt:i4>134</vt:i4>
      </vt:variant>
      <vt:variant>
        <vt:i4>0</vt:i4>
      </vt:variant>
      <vt:variant>
        <vt:i4>5</vt:i4>
      </vt:variant>
      <vt:variant>
        <vt:lpwstr/>
      </vt:variant>
      <vt:variant>
        <vt:lpwstr>_Toc518382545</vt:lpwstr>
      </vt:variant>
      <vt:variant>
        <vt:i4>1245232</vt:i4>
      </vt:variant>
      <vt:variant>
        <vt:i4>128</vt:i4>
      </vt:variant>
      <vt:variant>
        <vt:i4>0</vt:i4>
      </vt:variant>
      <vt:variant>
        <vt:i4>5</vt:i4>
      </vt:variant>
      <vt:variant>
        <vt:lpwstr/>
      </vt:variant>
      <vt:variant>
        <vt:lpwstr>_Toc518382544</vt:lpwstr>
      </vt:variant>
      <vt:variant>
        <vt:i4>1245232</vt:i4>
      </vt:variant>
      <vt:variant>
        <vt:i4>122</vt:i4>
      </vt:variant>
      <vt:variant>
        <vt:i4>0</vt:i4>
      </vt:variant>
      <vt:variant>
        <vt:i4>5</vt:i4>
      </vt:variant>
      <vt:variant>
        <vt:lpwstr/>
      </vt:variant>
      <vt:variant>
        <vt:lpwstr>_Toc518382543</vt:lpwstr>
      </vt:variant>
      <vt:variant>
        <vt:i4>1245232</vt:i4>
      </vt:variant>
      <vt:variant>
        <vt:i4>116</vt:i4>
      </vt:variant>
      <vt:variant>
        <vt:i4>0</vt:i4>
      </vt:variant>
      <vt:variant>
        <vt:i4>5</vt:i4>
      </vt:variant>
      <vt:variant>
        <vt:lpwstr/>
      </vt:variant>
      <vt:variant>
        <vt:lpwstr>_Toc518382542</vt:lpwstr>
      </vt:variant>
      <vt:variant>
        <vt:i4>1245232</vt:i4>
      </vt:variant>
      <vt:variant>
        <vt:i4>110</vt:i4>
      </vt:variant>
      <vt:variant>
        <vt:i4>0</vt:i4>
      </vt:variant>
      <vt:variant>
        <vt:i4>5</vt:i4>
      </vt:variant>
      <vt:variant>
        <vt:lpwstr/>
      </vt:variant>
      <vt:variant>
        <vt:lpwstr>_Toc518382541</vt:lpwstr>
      </vt:variant>
      <vt:variant>
        <vt:i4>1245232</vt:i4>
      </vt:variant>
      <vt:variant>
        <vt:i4>104</vt:i4>
      </vt:variant>
      <vt:variant>
        <vt:i4>0</vt:i4>
      </vt:variant>
      <vt:variant>
        <vt:i4>5</vt:i4>
      </vt:variant>
      <vt:variant>
        <vt:lpwstr/>
      </vt:variant>
      <vt:variant>
        <vt:lpwstr>_Toc518382540</vt:lpwstr>
      </vt:variant>
      <vt:variant>
        <vt:i4>1310768</vt:i4>
      </vt:variant>
      <vt:variant>
        <vt:i4>98</vt:i4>
      </vt:variant>
      <vt:variant>
        <vt:i4>0</vt:i4>
      </vt:variant>
      <vt:variant>
        <vt:i4>5</vt:i4>
      </vt:variant>
      <vt:variant>
        <vt:lpwstr/>
      </vt:variant>
      <vt:variant>
        <vt:lpwstr>_Toc518382539</vt:lpwstr>
      </vt:variant>
      <vt:variant>
        <vt:i4>1310768</vt:i4>
      </vt:variant>
      <vt:variant>
        <vt:i4>92</vt:i4>
      </vt:variant>
      <vt:variant>
        <vt:i4>0</vt:i4>
      </vt:variant>
      <vt:variant>
        <vt:i4>5</vt:i4>
      </vt:variant>
      <vt:variant>
        <vt:lpwstr/>
      </vt:variant>
      <vt:variant>
        <vt:lpwstr>_Toc518382538</vt:lpwstr>
      </vt:variant>
      <vt:variant>
        <vt:i4>1310768</vt:i4>
      </vt:variant>
      <vt:variant>
        <vt:i4>86</vt:i4>
      </vt:variant>
      <vt:variant>
        <vt:i4>0</vt:i4>
      </vt:variant>
      <vt:variant>
        <vt:i4>5</vt:i4>
      </vt:variant>
      <vt:variant>
        <vt:lpwstr/>
      </vt:variant>
      <vt:variant>
        <vt:lpwstr>_Toc518382537</vt:lpwstr>
      </vt:variant>
      <vt:variant>
        <vt:i4>1310768</vt:i4>
      </vt:variant>
      <vt:variant>
        <vt:i4>80</vt:i4>
      </vt:variant>
      <vt:variant>
        <vt:i4>0</vt:i4>
      </vt:variant>
      <vt:variant>
        <vt:i4>5</vt:i4>
      </vt:variant>
      <vt:variant>
        <vt:lpwstr/>
      </vt:variant>
      <vt:variant>
        <vt:lpwstr>_Toc518382536</vt:lpwstr>
      </vt:variant>
      <vt:variant>
        <vt:i4>1310768</vt:i4>
      </vt:variant>
      <vt:variant>
        <vt:i4>74</vt:i4>
      </vt:variant>
      <vt:variant>
        <vt:i4>0</vt:i4>
      </vt:variant>
      <vt:variant>
        <vt:i4>5</vt:i4>
      </vt:variant>
      <vt:variant>
        <vt:lpwstr/>
      </vt:variant>
      <vt:variant>
        <vt:lpwstr>_Toc518382535</vt:lpwstr>
      </vt:variant>
      <vt:variant>
        <vt:i4>1310768</vt:i4>
      </vt:variant>
      <vt:variant>
        <vt:i4>68</vt:i4>
      </vt:variant>
      <vt:variant>
        <vt:i4>0</vt:i4>
      </vt:variant>
      <vt:variant>
        <vt:i4>5</vt:i4>
      </vt:variant>
      <vt:variant>
        <vt:lpwstr/>
      </vt:variant>
      <vt:variant>
        <vt:lpwstr>_Toc518382534</vt:lpwstr>
      </vt:variant>
      <vt:variant>
        <vt:i4>1310768</vt:i4>
      </vt:variant>
      <vt:variant>
        <vt:i4>62</vt:i4>
      </vt:variant>
      <vt:variant>
        <vt:i4>0</vt:i4>
      </vt:variant>
      <vt:variant>
        <vt:i4>5</vt:i4>
      </vt:variant>
      <vt:variant>
        <vt:lpwstr/>
      </vt:variant>
      <vt:variant>
        <vt:lpwstr>_Toc518382533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dc:title>
  <dc:subject/>
  <dc:creator/>
  <cp:keywords/>
  <cp:lastModifiedBy/>
  <cp:revision>1</cp:revision>
  <cp:lastPrinted>1900-01-01T05:00:00Z</cp:lastPrinted>
  <dcterms:created xsi:type="dcterms:W3CDTF">2020-10-12T19:14:00Z</dcterms:created>
  <dcterms:modified xsi:type="dcterms:W3CDTF">2021-04-06T16:52:00Z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3082</vt:i4>
  </property>
  <property fmtid="{D5CDD505-2E9C-101B-9397-08002B2CF9AE}" pid="3" name="Version">
    <vt:i4>2003051900</vt:i4>
  </property>
  <property fmtid="{D5CDD505-2E9C-101B-9397-08002B2CF9AE}" pid="4" name="UseDefaultLanguage">
    <vt:bool>true</vt:bool>
  </property>
</Properties>
</file>